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C71F1" w14:textId="77777777" w:rsidR="00AD14BC" w:rsidRPr="00DC7DB3" w:rsidRDefault="00BF6238" w:rsidP="00AD14BC">
      <w:pPr>
        <w:autoSpaceDE w:val="0"/>
        <w:autoSpaceDN w:val="0"/>
        <w:adjustRightInd w:val="0"/>
        <w:spacing w:after="0" w:line="240" w:lineRule="auto"/>
        <w:jc w:val="center"/>
        <w:rPr>
          <w:rFonts w:ascii="Calibri" w:hAnsi="Calibri" w:cs="Courier New"/>
          <w:b/>
          <w:color w:val="000000"/>
          <w:sz w:val="40"/>
          <w:szCs w:val="40"/>
        </w:rPr>
      </w:pPr>
      <w:r w:rsidRPr="00DC7DB3">
        <w:rPr>
          <w:rFonts w:ascii="Calibri" w:hAnsi="Calibri" w:cs="Courier New"/>
          <w:b/>
          <w:color w:val="000000"/>
          <w:sz w:val="40"/>
          <w:szCs w:val="40"/>
        </w:rPr>
        <w:t>Pre-Employment Transition Services</w:t>
      </w:r>
    </w:p>
    <w:p w14:paraId="6E1BEEA8" w14:textId="103E481B" w:rsidR="00BF6238" w:rsidRPr="00AD14BC" w:rsidRDefault="00BF6238" w:rsidP="00BF6238">
      <w:pPr>
        <w:autoSpaceDE w:val="0"/>
        <w:autoSpaceDN w:val="0"/>
        <w:adjustRightInd w:val="0"/>
        <w:spacing w:after="0" w:line="240" w:lineRule="auto"/>
        <w:jc w:val="center"/>
        <w:rPr>
          <w:rFonts w:ascii="Calibri" w:hAnsi="Calibri" w:cs="Courier New"/>
          <w:color w:val="000000"/>
          <w:sz w:val="32"/>
          <w:szCs w:val="32"/>
        </w:rPr>
      </w:pPr>
      <w:r>
        <w:rPr>
          <w:rFonts w:ascii="Calibri" w:hAnsi="Calibri" w:cs="Courier New"/>
          <w:color w:val="000000"/>
          <w:sz w:val="32"/>
          <w:szCs w:val="32"/>
        </w:rPr>
        <w:t xml:space="preserve">A Guide for </w:t>
      </w:r>
      <w:r w:rsidR="00DC7DB3">
        <w:rPr>
          <w:rFonts w:ascii="Calibri" w:hAnsi="Calibri" w:cs="Courier New"/>
          <w:color w:val="000000"/>
          <w:sz w:val="32"/>
          <w:szCs w:val="32"/>
        </w:rPr>
        <w:t>Pre-ETS Providers</w:t>
      </w:r>
      <w:r>
        <w:rPr>
          <w:rFonts w:ascii="Calibri" w:hAnsi="Calibri" w:cs="Courier New"/>
          <w:color w:val="000000"/>
          <w:sz w:val="32"/>
          <w:szCs w:val="32"/>
        </w:rPr>
        <w:t>:  Definitions</w:t>
      </w:r>
      <w:r w:rsidR="00F836B6">
        <w:rPr>
          <w:rFonts w:ascii="Calibri" w:hAnsi="Calibri" w:cs="Courier New"/>
          <w:color w:val="000000"/>
          <w:sz w:val="32"/>
          <w:szCs w:val="32"/>
        </w:rPr>
        <w:t xml:space="preserve"> and</w:t>
      </w:r>
      <w:r>
        <w:rPr>
          <w:rFonts w:ascii="Calibri" w:hAnsi="Calibri" w:cs="Courier New"/>
          <w:color w:val="000000"/>
          <w:sz w:val="32"/>
          <w:szCs w:val="32"/>
        </w:rPr>
        <w:t xml:space="preserve"> Examples</w:t>
      </w:r>
    </w:p>
    <w:p w14:paraId="409FA781" w14:textId="77777777" w:rsidR="003E4469" w:rsidRPr="003E4469" w:rsidRDefault="003E4469" w:rsidP="00961660">
      <w:pPr>
        <w:autoSpaceDE w:val="0"/>
        <w:autoSpaceDN w:val="0"/>
        <w:adjustRightInd w:val="0"/>
        <w:spacing w:after="0" w:line="240" w:lineRule="auto"/>
        <w:rPr>
          <w:rFonts w:ascii="Calibri" w:hAnsi="Calibri" w:cs="Courier New"/>
          <w:color w:val="000000"/>
          <w:sz w:val="32"/>
          <w:szCs w:val="32"/>
        </w:rPr>
      </w:pPr>
    </w:p>
    <w:p w14:paraId="47E9DF19" w14:textId="77777777" w:rsidR="005E1C36" w:rsidRDefault="005E1C36" w:rsidP="00961660">
      <w:pPr>
        <w:autoSpaceDE w:val="0"/>
        <w:autoSpaceDN w:val="0"/>
        <w:adjustRightInd w:val="0"/>
        <w:spacing w:after="0" w:line="240" w:lineRule="auto"/>
        <w:rPr>
          <w:rFonts w:ascii="Calibri" w:hAnsi="Calibri" w:cs="Courier New"/>
          <w:color w:val="000000"/>
          <w:sz w:val="24"/>
          <w:szCs w:val="24"/>
        </w:rPr>
      </w:pPr>
    </w:p>
    <w:p w14:paraId="722096C0" w14:textId="77777777" w:rsidR="005E1C36" w:rsidRPr="007677B0" w:rsidRDefault="00944B7A" w:rsidP="00961660">
      <w:pPr>
        <w:autoSpaceDE w:val="0"/>
        <w:autoSpaceDN w:val="0"/>
        <w:adjustRightInd w:val="0"/>
        <w:spacing w:after="0" w:line="240" w:lineRule="auto"/>
        <w:rPr>
          <w:rFonts w:ascii="Calibri" w:hAnsi="Calibri" w:cs="Courier New"/>
          <w:color w:val="000000"/>
          <w:sz w:val="24"/>
          <w:szCs w:val="24"/>
        </w:rPr>
      </w:pPr>
      <w:r>
        <w:rPr>
          <w:rFonts w:ascii="Calibri" w:hAnsi="Calibri" w:cs="Courier New"/>
          <w:noProof/>
          <w:color w:val="000000"/>
          <w:sz w:val="24"/>
          <w:szCs w:val="24"/>
        </w:rPr>
        <w:drawing>
          <wp:inline distT="0" distB="0" distL="0" distR="0" wp14:anchorId="28B5384C" wp14:editId="4B3D83B1">
            <wp:extent cx="5829300" cy="5953125"/>
            <wp:effectExtent l="0" t="0" r="0" b="9525"/>
            <wp:docPr id="3" name="Chart 3" descr="Pie chart depicting the five pre-employment transition services categories." title="Pi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7442754" w14:textId="77777777" w:rsidR="00961660" w:rsidRPr="007677B0" w:rsidRDefault="00961660" w:rsidP="00961660">
      <w:pPr>
        <w:autoSpaceDE w:val="0"/>
        <w:autoSpaceDN w:val="0"/>
        <w:adjustRightInd w:val="0"/>
        <w:spacing w:after="0" w:line="240" w:lineRule="auto"/>
        <w:rPr>
          <w:rFonts w:ascii="Calibri" w:hAnsi="Calibri" w:cs="Courier New"/>
          <w:color w:val="000000"/>
          <w:sz w:val="24"/>
          <w:szCs w:val="24"/>
        </w:rPr>
      </w:pPr>
    </w:p>
    <w:p w14:paraId="3CA5AACA" w14:textId="77777777" w:rsidR="00EA40A3" w:rsidRDefault="00EA40A3">
      <w:pPr>
        <w:rPr>
          <w:rFonts w:ascii="Calibri" w:hAnsi="Calibri" w:cs="Courier New"/>
          <w:color w:val="000000"/>
          <w:sz w:val="24"/>
          <w:szCs w:val="24"/>
        </w:rPr>
      </w:pPr>
      <w:r>
        <w:rPr>
          <w:rFonts w:ascii="Calibri" w:hAnsi="Calibri" w:cs="Courier New"/>
          <w:color w:val="000000"/>
          <w:sz w:val="24"/>
          <w:szCs w:val="24"/>
        </w:rPr>
        <w:br w:type="page"/>
      </w:r>
    </w:p>
    <w:p w14:paraId="241BEBCD" w14:textId="13BEB8E3" w:rsidR="00AD2343" w:rsidRDefault="00AD2343" w:rsidP="00AD2343">
      <w:pPr>
        <w:rPr>
          <w:rFonts w:ascii="Calibri" w:hAnsi="Calibri" w:cs="Courier New"/>
          <w:color w:val="000000"/>
          <w:sz w:val="24"/>
          <w:szCs w:val="24"/>
        </w:rPr>
      </w:pPr>
      <w:r>
        <w:rPr>
          <w:rFonts w:ascii="Calibri" w:hAnsi="Calibri" w:cs="Courier New"/>
          <w:noProof/>
          <w:color w:val="000000"/>
          <w:sz w:val="24"/>
          <w:szCs w:val="24"/>
        </w:rPr>
        <w:lastRenderedPageBreak/>
        <mc:AlternateContent>
          <mc:Choice Requires="wps">
            <w:drawing>
              <wp:anchor distT="0" distB="0" distL="114300" distR="114300" simplePos="0" relativeHeight="251700224" behindDoc="0" locked="0" layoutInCell="1" allowOverlap="1" wp14:anchorId="11F1ED1A" wp14:editId="6F95754C">
                <wp:simplePos x="0" y="0"/>
                <wp:positionH relativeFrom="margin">
                  <wp:posOffset>-137160</wp:posOffset>
                </wp:positionH>
                <wp:positionV relativeFrom="paragraph">
                  <wp:posOffset>152400</wp:posOffset>
                </wp:positionV>
                <wp:extent cx="6276975" cy="1729740"/>
                <wp:effectExtent l="0" t="0" r="28575" b="22860"/>
                <wp:wrapTopAndBottom/>
                <wp:docPr id="42" name="Text Box 42"/>
                <wp:cNvGraphicFramePr/>
                <a:graphic xmlns:a="http://schemas.openxmlformats.org/drawingml/2006/main">
                  <a:graphicData uri="http://schemas.microsoft.com/office/word/2010/wordprocessingShape">
                    <wps:wsp>
                      <wps:cNvSpPr txBox="1"/>
                      <wps:spPr>
                        <a:xfrm>
                          <a:off x="0" y="0"/>
                          <a:ext cx="6276975" cy="1729740"/>
                        </a:xfrm>
                        <a:prstGeom prst="rect">
                          <a:avLst/>
                        </a:prstGeom>
                        <a:solidFill>
                          <a:schemeClr val="lt1"/>
                        </a:solidFill>
                        <a:ln w="7620">
                          <a:solidFill>
                            <a:prstClr val="black"/>
                          </a:solidFill>
                        </a:ln>
                      </wps:spPr>
                      <wps:txbx>
                        <w:txbxContent>
                          <w:p w14:paraId="4CF20C5F" w14:textId="77777777" w:rsidR="00EA40A3" w:rsidRPr="008601CB" w:rsidRDefault="008601CB" w:rsidP="00EA40A3">
                            <w:pPr>
                              <w:tabs>
                                <w:tab w:val="left" w:pos="360"/>
                              </w:tabs>
                              <w:autoSpaceDE w:val="0"/>
                              <w:autoSpaceDN w:val="0"/>
                              <w:adjustRightInd w:val="0"/>
                              <w:spacing w:after="0" w:line="240" w:lineRule="auto"/>
                              <w:ind w:left="360" w:hanging="360"/>
                              <w:rPr>
                                <w:rFonts w:ascii="Calibri" w:hAnsi="Calibri" w:cs="Courier New"/>
                                <w:b/>
                                <w:color w:val="000000"/>
                                <w:sz w:val="32"/>
                                <w:szCs w:val="32"/>
                                <w:u w:val="single"/>
                              </w:rPr>
                            </w:pPr>
                            <w:r w:rsidRPr="008601CB">
                              <w:rPr>
                                <w:rFonts w:ascii="Calibri" w:hAnsi="Calibri" w:cs="Courier New"/>
                                <w:b/>
                                <w:color w:val="000000"/>
                                <w:sz w:val="32"/>
                                <w:szCs w:val="32"/>
                                <w:u w:val="single"/>
                              </w:rPr>
                              <w:t>KEY TO SYMBOLS</w:t>
                            </w:r>
                          </w:p>
                          <w:p w14:paraId="7CD18382" w14:textId="77777777" w:rsidR="008601CB" w:rsidRDefault="008601CB" w:rsidP="00EA40A3">
                            <w:pPr>
                              <w:tabs>
                                <w:tab w:val="left" w:pos="360"/>
                              </w:tabs>
                              <w:autoSpaceDE w:val="0"/>
                              <w:autoSpaceDN w:val="0"/>
                              <w:adjustRightInd w:val="0"/>
                              <w:spacing w:after="0" w:line="240" w:lineRule="auto"/>
                              <w:ind w:left="360" w:hanging="360"/>
                              <w:rPr>
                                <w:rFonts w:ascii="Calibri" w:hAnsi="Calibri" w:cs="Courier New"/>
                                <w:color w:val="000000"/>
                                <w:sz w:val="24"/>
                                <w:szCs w:val="24"/>
                              </w:rPr>
                            </w:pPr>
                          </w:p>
                          <w:p w14:paraId="0CAEFAC1" w14:textId="77777777" w:rsidR="00EA40A3" w:rsidRDefault="00EA40A3" w:rsidP="00AD2343">
                            <w:pPr>
                              <w:autoSpaceDE w:val="0"/>
                              <w:autoSpaceDN w:val="0"/>
                              <w:adjustRightInd w:val="0"/>
                              <w:spacing w:after="0" w:line="240" w:lineRule="auto"/>
                              <w:ind w:left="1080" w:hanging="720"/>
                              <w:rPr>
                                <w:rFonts w:ascii="Calibri" w:hAnsi="Calibri" w:cs="Courier New"/>
                                <w:b/>
                                <w:color w:val="000000"/>
                                <w:sz w:val="28"/>
                                <w:szCs w:val="28"/>
                              </w:rPr>
                            </w:pPr>
                            <w:r>
                              <w:rPr>
                                <w:rFonts w:ascii="Calibri" w:hAnsi="Calibri" w:cs="Courier New"/>
                                <w:noProof/>
                                <w:color w:val="000000"/>
                                <w:sz w:val="24"/>
                                <w:szCs w:val="24"/>
                              </w:rPr>
                              <w:drawing>
                                <wp:inline distT="0" distB="0" distL="0" distR="0" wp14:anchorId="6CC6E4C5" wp14:editId="25435905">
                                  <wp:extent cx="264160" cy="264160"/>
                                  <wp:effectExtent l="0" t="0" r="2540" b="2540"/>
                                  <wp:docPr id="4" name="Picture 4" descr="Icon to represent the Definition of Category" titl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rinted-Matter-Book-ico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inline>
                              </w:drawing>
                            </w:r>
                            <w:r>
                              <w:rPr>
                                <w:rFonts w:ascii="Calibri" w:hAnsi="Calibri" w:cs="Courier New"/>
                                <w:color w:val="000000"/>
                                <w:sz w:val="24"/>
                                <w:szCs w:val="24"/>
                              </w:rPr>
                              <w:t xml:space="preserve">  </w:t>
                            </w:r>
                            <w:r w:rsidR="008601CB">
                              <w:rPr>
                                <w:rFonts w:ascii="Calibri" w:hAnsi="Calibri" w:cs="Courier New"/>
                                <w:color w:val="000000"/>
                                <w:sz w:val="24"/>
                                <w:szCs w:val="24"/>
                              </w:rPr>
                              <w:tab/>
                            </w:r>
                            <w:r w:rsidRPr="008601CB">
                              <w:rPr>
                                <w:rFonts w:ascii="Calibri" w:hAnsi="Calibri" w:cs="Courier New"/>
                                <w:b/>
                                <w:color w:val="000000"/>
                                <w:sz w:val="28"/>
                                <w:szCs w:val="28"/>
                              </w:rPr>
                              <w:t xml:space="preserve">Definition of </w:t>
                            </w:r>
                            <w:r w:rsidR="008601CB" w:rsidRPr="008601CB">
                              <w:rPr>
                                <w:rFonts w:ascii="Calibri" w:hAnsi="Calibri" w:cs="Courier New"/>
                                <w:b/>
                                <w:color w:val="000000"/>
                                <w:sz w:val="28"/>
                                <w:szCs w:val="28"/>
                              </w:rPr>
                              <w:t>Category</w:t>
                            </w:r>
                          </w:p>
                          <w:p w14:paraId="2FD68093" w14:textId="77777777" w:rsidR="00AD2343" w:rsidRDefault="00AD2343" w:rsidP="00AD2343">
                            <w:pPr>
                              <w:autoSpaceDE w:val="0"/>
                              <w:autoSpaceDN w:val="0"/>
                              <w:adjustRightInd w:val="0"/>
                              <w:spacing w:after="0" w:line="240" w:lineRule="auto"/>
                              <w:ind w:left="1080" w:hanging="720"/>
                              <w:rPr>
                                <w:rFonts w:ascii="Calibri" w:hAnsi="Calibri" w:cs="Courier New"/>
                                <w:b/>
                                <w:color w:val="000000"/>
                                <w:sz w:val="28"/>
                                <w:szCs w:val="28"/>
                              </w:rPr>
                            </w:pPr>
                          </w:p>
                          <w:p w14:paraId="530F65A9" w14:textId="0D0C41E9" w:rsidR="00AD2343" w:rsidRPr="00AD2343" w:rsidRDefault="00AD2343" w:rsidP="00AD2343">
                            <w:pPr>
                              <w:autoSpaceDE w:val="0"/>
                              <w:autoSpaceDN w:val="0"/>
                              <w:adjustRightInd w:val="0"/>
                              <w:spacing w:after="0" w:line="240" w:lineRule="auto"/>
                              <w:ind w:left="1080" w:hanging="720"/>
                              <w:rPr>
                                <w:rFonts w:ascii="Calibri" w:hAnsi="Calibri" w:cs="Courier New"/>
                                <w:b/>
                                <w:color w:val="000000"/>
                                <w:sz w:val="28"/>
                                <w:szCs w:val="28"/>
                              </w:rPr>
                            </w:pPr>
                            <w:r>
                              <w:rPr>
                                <w:b/>
                                <w:noProof/>
                                <w:sz w:val="28"/>
                                <w:szCs w:val="28"/>
                              </w:rPr>
                              <w:drawing>
                                <wp:inline distT="0" distB="0" distL="0" distR="0" wp14:anchorId="23BAED9C" wp14:editId="553A3683">
                                  <wp:extent cx="320040" cy="320040"/>
                                  <wp:effectExtent l="0" t="0" r="3810" b="3810"/>
                                  <wp:docPr id="5" name="Picture 5" descr="Icon to represent Pre-ETS activity ideas for work plans." title="Light 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dea[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inline>
                              </w:drawing>
                            </w:r>
                            <w:r>
                              <w:rPr>
                                <w:b/>
                                <w:sz w:val="28"/>
                                <w:szCs w:val="28"/>
                              </w:rPr>
                              <w:tab/>
                              <w:t xml:space="preserve">Pre-ETS Activity </w:t>
                            </w:r>
                            <w:r w:rsidRPr="008601CB">
                              <w:rPr>
                                <w:b/>
                                <w:sz w:val="28"/>
                                <w:szCs w:val="28"/>
                              </w:rPr>
                              <w:t xml:space="preserve">Ideas </w:t>
                            </w:r>
                          </w:p>
                          <w:p w14:paraId="10BBF191" w14:textId="77777777" w:rsidR="00EA40A3" w:rsidRDefault="00EA40A3" w:rsidP="00AD2343">
                            <w:pPr>
                              <w:autoSpaceDE w:val="0"/>
                              <w:autoSpaceDN w:val="0"/>
                              <w:adjustRightInd w:val="0"/>
                              <w:spacing w:after="0" w:line="240" w:lineRule="auto"/>
                              <w:ind w:left="1080" w:hanging="720"/>
                              <w:rPr>
                                <w:rFonts w:ascii="Calibri" w:hAnsi="Calibri" w:cs="Courier New"/>
                                <w:color w:val="000000"/>
                                <w:sz w:val="24"/>
                                <w:szCs w:val="24"/>
                              </w:rPr>
                            </w:pPr>
                          </w:p>
                          <w:p w14:paraId="4A230DC6" w14:textId="77777777" w:rsidR="00EA40A3" w:rsidRDefault="00EA40A3" w:rsidP="00EA40A3">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1ED1A" id="_x0000_t202" coordsize="21600,21600" o:spt="202" path="m,l,21600r21600,l21600,xe">
                <v:stroke joinstyle="miter"/>
                <v:path gradientshapeok="t" o:connecttype="rect"/>
              </v:shapetype>
              <v:shape id="Text Box 42" o:spid="_x0000_s1026" type="#_x0000_t202" style="position:absolute;margin-left:-10.8pt;margin-top:12pt;width:494.25pt;height:136.2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" fillcolor="white [3201]" strokeweight=".6pt">
                <v:textbox>
                  <w:txbxContent>
                    <w:p w14:paraId="4CF20C5F" w14:textId="77777777" w:rsidR="00EA40A3" w:rsidRPr="008601CB" w:rsidRDefault="008601CB" w:rsidP="00EA40A3">
                      <w:pPr>
                        <w:tabs>
                          <w:tab w:val="left" w:pos="360"/>
                        </w:tabs>
                        <w:autoSpaceDE w:val="0"/>
                        <w:autoSpaceDN w:val="0"/>
                        <w:adjustRightInd w:val="0"/>
                        <w:spacing w:after="0" w:line="240" w:lineRule="auto"/>
                        <w:ind w:left="360" w:hanging="360"/>
                        <w:rPr>
                          <w:rFonts w:ascii="Calibri" w:hAnsi="Calibri" w:cs="Courier New"/>
                          <w:b/>
                          <w:color w:val="000000"/>
                          <w:sz w:val="32"/>
                          <w:szCs w:val="32"/>
                          <w:u w:val="single"/>
                        </w:rPr>
                      </w:pPr>
                      <w:r w:rsidRPr="008601CB">
                        <w:rPr>
                          <w:rFonts w:ascii="Calibri" w:hAnsi="Calibri" w:cs="Courier New"/>
                          <w:b/>
                          <w:color w:val="000000"/>
                          <w:sz w:val="32"/>
                          <w:szCs w:val="32"/>
                          <w:u w:val="single"/>
                        </w:rPr>
                        <w:t>KEY TO SYMBOLS</w:t>
                      </w:r>
                    </w:p>
                    <w:p w14:paraId="7CD18382" w14:textId="77777777" w:rsidR="008601CB" w:rsidRDefault="008601CB" w:rsidP="00EA40A3">
                      <w:pPr>
                        <w:tabs>
                          <w:tab w:val="left" w:pos="360"/>
                        </w:tabs>
                        <w:autoSpaceDE w:val="0"/>
                        <w:autoSpaceDN w:val="0"/>
                        <w:adjustRightInd w:val="0"/>
                        <w:spacing w:after="0" w:line="240" w:lineRule="auto"/>
                        <w:ind w:left="360" w:hanging="360"/>
                        <w:rPr>
                          <w:rFonts w:ascii="Calibri" w:hAnsi="Calibri" w:cs="Courier New"/>
                          <w:color w:val="000000"/>
                          <w:sz w:val="24"/>
                          <w:szCs w:val="24"/>
                        </w:rPr>
                      </w:pPr>
                    </w:p>
                    <w:p w14:paraId="0CAEFAC1" w14:textId="77777777" w:rsidR="00EA40A3" w:rsidRDefault="00EA40A3" w:rsidP="00AD2343">
                      <w:pPr>
                        <w:autoSpaceDE w:val="0"/>
                        <w:autoSpaceDN w:val="0"/>
                        <w:adjustRightInd w:val="0"/>
                        <w:spacing w:after="0" w:line="240" w:lineRule="auto"/>
                        <w:ind w:left="1080" w:hanging="720"/>
                        <w:rPr>
                          <w:rFonts w:ascii="Calibri" w:hAnsi="Calibri" w:cs="Courier New"/>
                          <w:b/>
                          <w:color w:val="000000"/>
                          <w:sz w:val="28"/>
                          <w:szCs w:val="28"/>
                        </w:rPr>
                      </w:pPr>
                      <w:r>
                        <w:rPr>
                          <w:rFonts w:ascii="Calibri" w:hAnsi="Calibri" w:cs="Courier New"/>
                          <w:noProof/>
                          <w:color w:val="000000"/>
                          <w:sz w:val="24"/>
                          <w:szCs w:val="24"/>
                        </w:rPr>
                        <w:drawing>
                          <wp:inline distT="0" distB="0" distL="0" distR="0" wp14:anchorId="6CC6E4C5" wp14:editId="25435905">
                            <wp:extent cx="264160" cy="264160"/>
                            <wp:effectExtent l="0" t="0" r="2540" b="2540"/>
                            <wp:docPr id="4" name="Picture 4" descr="Icon to represent the Definition of Category" titl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rinted-Matter-Book-icon[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inline>
                        </w:drawing>
                      </w:r>
                      <w:r>
                        <w:rPr>
                          <w:rFonts w:ascii="Calibri" w:hAnsi="Calibri" w:cs="Courier New"/>
                          <w:color w:val="000000"/>
                          <w:sz w:val="24"/>
                          <w:szCs w:val="24"/>
                        </w:rPr>
                        <w:t xml:space="preserve">  </w:t>
                      </w:r>
                      <w:r w:rsidR="008601CB">
                        <w:rPr>
                          <w:rFonts w:ascii="Calibri" w:hAnsi="Calibri" w:cs="Courier New"/>
                          <w:color w:val="000000"/>
                          <w:sz w:val="24"/>
                          <w:szCs w:val="24"/>
                        </w:rPr>
                        <w:tab/>
                      </w:r>
                      <w:r w:rsidRPr="008601CB">
                        <w:rPr>
                          <w:rFonts w:ascii="Calibri" w:hAnsi="Calibri" w:cs="Courier New"/>
                          <w:b/>
                          <w:color w:val="000000"/>
                          <w:sz w:val="28"/>
                          <w:szCs w:val="28"/>
                        </w:rPr>
                        <w:t xml:space="preserve">Definition of </w:t>
                      </w:r>
                      <w:r w:rsidR="008601CB" w:rsidRPr="008601CB">
                        <w:rPr>
                          <w:rFonts w:ascii="Calibri" w:hAnsi="Calibri" w:cs="Courier New"/>
                          <w:b/>
                          <w:color w:val="000000"/>
                          <w:sz w:val="28"/>
                          <w:szCs w:val="28"/>
                        </w:rPr>
                        <w:t>Category</w:t>
                      </w:r>
                    </w:p>
                    <w:p w14:paraId="2FD68093" w14:textId="77777777" w:rsidR="00AD2343" w:rsidRDefault="00AD2343" w:rsidP="00AD2343">
                      <w:pPr>
                        <w:autoSpaceDE w:val="0"/>
                        <w:autoSpaceDN w:val="0"/>
                        <w:adjustRightInd w:val="0"/>
                        <w:spacing w:after="0" w:line="240" w:lineRule="auto"/>
                        <w:ind w:left="1080" w:hanging="720"/>
                        <w:rPr>
                          <w:rFonts w:ascii="Calibri" w:hAnsi="Calibri" w:cs="Courier New"/>
                          <w:b/>
                          <w:color w:val="000000"/>
                          <w:sz w:val="28"/>
                          <w:szCs w:val="28"/>
                        </w:rPr>
                      </w:pPr>
                    </w:p>
                    <w:p w14:paraId="530F65A9" w14:textId="0D0C41E9" w:rsidR="00AD2343" w:rsidRPr="00AD2343" w:rsidRDefault="00AD2343" w:rsidP="00AD2343">
                      <w:pPr>
                        <w:autoSpaceDE w:val="0"/>
                        <w:autoSpaceDN w:val="0"/>
                        <w:adjustRightInd w:val="0"/>
                        <w:spacing w:after="0" w:line="240" w:lineRule="auto"/>
                        <w:ind w:left="1080" w:hanging="720"/>
                        <w:rPr>
                          <w:rFonts w:ascii="Calibri" w:hAnsi="Calibri" w:cs="Courier New"/>
                          <w:b/>
                          <w:color w:val="000000"/>
                          <w:sz w:val="28"/>
                          <w:szCs w:val="28"/>
                        </w:rPr>
                      </w:pPr>
                      <w:r>
                        <w:rPr>
                          <w:b/>
                          <w:noProof/>
                          <w:sz w:val="28"/>
                          <w:szCs w:val="28"/>
                        </w:rPr>
                        <w:drawing>
                          <wp:inline distT="0" distB="0" distL="0" distR="0" wp14:anchorId="23BAED9C" wp14:editId="553A3683">
                            <wp:extent cx="320040" cy="320040"/>
                            <wp:effectExtent l="0" t="0" r="3810" b="3810"/>
                            <wp:docPr id="5" name="Picture 5" descr="Icon to represent Pre-ETS activity ideas for work plans." title="Light 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dea[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inline>
                        </w:drawing>
                      </w:r>
                      <w:r>
                        <w:rPr>
                          <w:b/>
                          <w:sz w:val="28"/>
                          <w:szCs w:val="28"/>
                        </w:rPr>
                        <w:tab/>
                        <w:t xml:space="preserve">Pre-ETS Activity </w:t>
                      </w:r>
                      <w:r w:rsidRPr="008601CB">
                        <w:rPr>
                          <w:b/>
                          <w:sz w:val="28"/>
                          <w:szCs w:val="28"/>
                        </w:rPr>
                        <w:t xml:space="preserve">Ideas </w:t>
                      </w:r>
                    </w:p>
                    <w:p w14:paraId="10BBF191" w14:textId="77777777" w:rsidR="00EA40A3" w:rsidRDefault="00EA40A3" w:rsidP="00AD2343">
                      <w:pPr>
                        <w:autoSpaceDE w:val="0"/>
                        <w:autoSpaceDN w:val="0"/>
                        <w:adjustRightInd w:val="0"/>
                        <w:spacing w:after="0" w:line="240" w:lineRule="auto"/>
                        <w:ind w:left="1080" w:hanging="720"/>
                        <w:rPr>
                          <w:rFonts w:ascii="Calibri" w:hAnsi="Calibri" w:cs="Courier New"/>
                          <w:color w:val="000000"/>
                          <w:sz w:val="24"/>
                          <w:szCs w:val="24"/>
                        </w:rPr>
                      </w:pPr>
                    </w:p>
                    <w:p w14:paraId="4A230DC6" w14:textId="77777777" w:rsidR="00EA40A3" w:rsidRDefault="00EA40A3" w:rsidP="00EA40A3">
                      <w:pPr>
                        <w:ind w:left="720"/>
                      </w:pPr>
                    </w:p>
                  </w:txbxContent>
                </v:textbox>
                <w10:wrap type="topAndBottom" anchorx="margin"/>
              </v:shape>
            </w:pict>
          </mc:Fallback>
        </mc:AlternateContent>
      </w:r>
    </w:p>
    <w:p w14:paraId="5E31E625" w14:textId="2499759B" w:rsidR="00AD2343" w:rsidRPr="00AD2343" w:rsidRDefault="00AD2343" w:rsidP="00AD2343">
      <w:pPr>
        <w:jc w:val="center"/>
        <w:rPr>
          <w:rFonts w:ascii="Calibri" w:hAnsi="Calibri" w:cs="Courier New"/>
          <w:b/>
          <w:color w:val="000000"/>
          <w:sz w:val="28"/>
          <w:szCs w:val="28"/>
        </w:rPr>
      </w:pPr>
      <w:r w:rsidRPr="00AD2343">
        <w:rPr>
          <w:rFonts w:ascii="Calibri" w:hAnsi="Calibri" w:cs="Courier New"/>
          <w:b/>
          <w:color w:val="000000"/>
          <w:sz w:val="28"/>
          <w:szCs w:val="28"/>
        </w:rPr>
        <w:t>Following are examples of Pre-ETS activities in the five “required” categories and how they may be provided to individual students with disabilities who are enrolled in</w:t>
      </w:r>
      <w:r w:rsidR="0076195A" w:rsidRPr="0076195A">
        <w:rPr>
          <w:rFonts w:ascii="Calibri" w:hAnsi="Calibri" w:cs="Courier New"/>
          <w:b/>
          <w:color w:val="000000"/>
          <w:sz w:val="28"/>
          <w:szCs w:val="28"/>
        </w:rPr>
        <w:t xml:space="preserve"> a secondary, postsecondary, or other recognized education program </w:t>
      </w:r>
      <w:r w:rsidRPr="00AD2343">
        <w:rPr>
          <w:rFonts w:ascii="Calibri" w:hAnsi="Calibri" w:cs="Courier New"/>
          <w:b/>
          <w:color w:val="000000"/>
          <w:sz w:val="28"/>
          <w:szCs w:val="28"/>
        </w:rPr>
        <w:t>(ages 14-21) in either a group or an individualized setting.</w:t>
      </w:r>
    </w:p>
    <w:p w14:paraId="3B570F01" w14:textId="54B3B9F6" w:rsidR="00AD2343" w:rsidRPr="00AD2343" w:rsidRDefault="00AD2343" w:rsidP="00AD2343">
      <w:pPr>
        <w:jc w:val="center"/>
        <w:rPr>
          <w:rFonts w:ascii="Calibri" w:hAnsi="Calibri" w:cs="Courier New"/>
          <w:b/>
          <w:color w:val="000000"/>
          <w:sz w:val="28"/>
          <w:szCs w:val="28"/>
        </w:rPr>
      </w:pPr>
      <w:r w:rsidRPr="00AD2343">
        <w:rPr>
          <w:rFonts w:ascii="Calibri" w:hAnsi="Calibri" w:cs="Courier New"/>
          <w:b/>
          <w:color w:val="000000"/>
          <w:sz w:val="28"/>
          <w:szCs w:val="28"/>
        </w:rPr>
        <w:t xml:space="preserve">Please note: </w:t>
      </w:r>
      <w:r w:rsidR="001F64D4">
        <w:rPr>
          <w:rFonts w:ascii="Calibri" w:hAnsi="Calibri" w:cs="Courier New"/>
          <w:b/>
          <w:color w:val="000000"/>
          <w:sz w:val="28"/>
          <w:szCs w:val="28"/>
        </w:rPr>
        <w:t>T</w:t>
      </w:r>
      <w:r w:rsidRPr="00AD2343">
        <w:rPr>
          <w:rFonts w:ascii="Calibri" w:hAnsi="Calibri" w:cs="Courier New"/>
          <w:b/>
          <w:color w:val="000000"/>
          <w:sz w:val="28"/>
          <w:szCs w:val="28"/>
        </w:rPr>
        <w:t>his list is not all-inclusive.</w:t>
      </w:r>
    </w:p>
    <w:p w14:paraId="15E772FB" w14:textId="77777777" w:rsidR="00944B7A" w:rsidRDefault="00CC72F7" w:rsidP="00AD2343">
      <w:pPr>
        <w:rPr>
          <w:rFonts w:ascii="Calibri" w:hAnsi="Calibri" w:cs="Courier New"/>
          <w:color w:val="000000"/>
          <w:sz w:val="24"/>
          <w:szCs w:val="24"/>
        </w:rPr>
      </w:pPr>
      <w:r>
        <w:rPr>
          <w:rFonts w:ascii="Calibri" w:hAnsi="Calibri" w:cs="Courier New"/>
          <w:noProof/>
          <w:color w:val="000000"/>
          <w:sz w:val="24"/>
          <w:szCs w:val="24"/>
        </w:rPr>
        <w:drawing>
          <wp:anchor distT="0" distB="0" distL="114300" distR="114300" simplePos="0" relativeHeight="251686912" behindDoc="1" locked="0" layoutInCell="1" allowOverlap="1" wp14:anchorId="6F45BECA" wp14:editId="61B53421">
            <wp:simplePos x="0" y="0"/>
            <wp:positionH relativeFrom="column">
              <wp:posOffset>-402590</wp:posOffset>
            </wp:positionH>
            <wp:positionV relativeFrom="paragraph">
              <wp:posOffset>248920</wp:posOffset>
            </wp:positionV>
            <wp:extent cx="264160" cy="264160"/>
            <wp:effectExtent l="0" t="0" r="2540" b="2540"/>
            <wp:wrapTight wrapText="bothSides">
              <wp:wrapPolygon edited="0">
                <wp:start x="6231" y="0"/>
                <wp:lineTo x="0" y="7788"/>
                <wp:lineTo x="0" y="18692"/>
                <wp:lineTo x="6231" y="20250"/>
                <wp:lineTo x="15577" y="20250"/>
                <wp:lineTo x="20250" y="12462"/>
                <wp:lineTo x="20250" y="0"/>
                <wp:lineTo x="15577" y="0"/>
                <wp:lineTo x="6231" y="0"/>
              </wp:wrapPolygon>
            </wp:wrapTight>
            <wp:docPr id="28" name="Picture 28" titl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rinted-Matter-Book-ico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14:sizeRelH relativeFrom="page">
              <wp14:pctWidth>0</wp14:pctWidth>
            </wp14:sizeRelH>
            <wp14:sizeRelV relativeFrom="page">
              <wp14:pctHeight>0</wp14:pctHeight>
            </wp14:sizeRelV>
          </wp:anchor>
        </w:drawing>
      </w:r>
    </w:p>
    <w:p w14:paraId="6B32C3F3" w14:textId="77777777" w:rsidR="00961660" w:rsidRDefault="00CC72F7" w:rsidP="00961660">
      <w:pPr>
        <w:autoSpaceDE w:val="0"/>
        <w:autoSpaceDN w:val="0"/>
        <w:adjustRightInd w:val="0"/>
        <w:spacing w:after="0" w:line="240" w:lineRule="auto"/>
        <w:rPr>
          <w:rFonts w:ascii="Calibri" w:hAnsi="Calibri" w:cs="Courier New"/>
          <w:color w:val="000000"/>
          <w:sz w:val="24"/>
          <w:szCs w:val="24"/>
        </w:rPr>
      </w:pPr>
      <w:r>
        <w:rPr>
          <w:rFonts w:ascii="Calibri" w:hAnsi="Calibri"/>
          <w:b/>
          <w:noProof/>
          <w:sz w:val="28"/>
          <w:szCs w:val="28"/>
        </w:rPr>
        <mc:AlternateContent>
          <mc:Choice Requires="wps">
            <w:drawing>
              <wp:anchor distT="0" distB="0" distL="114300" distR="114300" simplePos="0" relativeHeight="251665408" behindDoc="1" locked="0" layoutInCell="1" allowOverlap="1" wp14:anchorId="7F9DD3CA" wp14:editId="64D2EB9C">
                <wp:simplePos x="0" y="0"/>
                <wp:positionH relativeFrom="margin">
                  <wp:align>left</wp:align>
                </wp:positionH>
                <wp:positionV relativeFrom="paragraph">
                  <wp:posOffset>14605</wp:posOffset>
                </wp:positionV>
                <wp:extent cx="2847975" cy="314325"/>
                <wp:effectExtent l="0" t="0" r="28575" b="28575"/>
                <wp:wrapSquare wrapText="bothSides"/>
                <wp:docPr id="8" name="Rectangle 8"/>
                <wp:cNvGraphicFramePr/>
                <a:graphic xmlns:a="http://schemas.openxmlformats.org/drawingml/2006/main">
                  <a:graphicData uri="http://schemas.microsoft.com/office/word/2010/wordprocessingShape">
                    <wps:wsp>
                      <wps:cNvSpPr/>
                      <wps:spPr>
                        <a:xfrm>
                          <a:off x="0" y="0"/>
                          <a:ext cx="2847975" cy="314325"/>
                        </a:xfrm>
                        <a:prstGeom prst="rect">
                          <a:avLst/>
                        </a:prstGeom>
                        <a:solidFill>
                          <a:srgbClr val="00B0F0"/>
                        </a:solidFill>
                        <a:ln w="12700" cap="flat" cmpd="sng" algn="ctr">
                          <a:solidFill>
                            <a:srgbClr val="5B9BD5">
                              <a:shade val="50000"/>
                            </a:srgbClr>
                          </a:solidFill>
                          <a:prstDash val="solid"/>
                          <a:miter lim="800000"/>
                        </a:ln>
                        <a:effectLst/>
                      </wps:spPr>
                      <wps:txbx>
                        <w:txbxContent>
                          <w:p w14:paraId="13B7EEE3" w14:textId="77777777" w:rsidR="003A38C2" w:rsidRPr="003A38C2" w:rsidRDefault="003A38C2" w:rsidP="003A38C2">
                            <w:pPr>
                              <w:pStyle w:val="ListParagraph"/>
                              <w:numPr>
                                <w:ilvl w:val="0"/>
                                <w:numId w:val="1"/>
                              </w:numPr>
                              <w:rPr>
                                <w:rFonts w:ascii="Calibri" w:hAnsi="Calibri"/>
                                <w:b/>
                                <w:color w:val="FFFFFF" w:themeColor="background1"/>
                                <w:sz w:val="28"/>
                                <w:szCs w:val="28"/>
                              </w:rPr>
                            </w:pPr>
                            <w:r w:rsidRPr="003A38C2">
                              <w:rPr>
                                <w:rFonts w:ascii="Calibri" w:hAnsi="Calibri"/>
                                <w:b/>
                                <w:color w:val="FFFFFF" w:themeColor="background1"/>
                                <w:sz w:val="28"/>
                                <w:szCs w:val="28"/>
                              </w:rPr>
                              <w:t>Job Exploration Counseling</w:t>
                            </w:r>
                            <w:r w:rsidR="000C4D2C">
                              <w:rPr>
                                <w:rFonts w:ascii="Calibri" w:hAnsi="Calibri"/>
                                <w:b/>
                                <w:color w:val="FFFFFF" w:themeColor="background1"/>
                                <w:sz w:val="28"/>
                                <w:szCs w:val="28"/>
                              </w:rPr>
                              <w:t xml:space="preserve"> </w:t>
                            </w:r>
                            <w:r w:rsidR="00CC72F7">
                              <w:rPr>
                                <w:rFonts w:ascii="Calibri" w:hAnsi="Calibri"/>
                                <w:b/>
                                <w:color w:val="FFFFFF" w:themeColor="background1"/>
                                <w:sz w:val="28"/>
                                <w:szCs w:val="28"/>
                              </w:rPr>
                              <w:t xml:space="preserve">  </w:t>
                            </w:r>
                            <w:r w:rsidR="000C4D2C">
                              <w:rPr>
                                <w:rFonts w:ascii="Calibri" w:hAnsi="Calibri"/>
                                <w:b/>
                                <w:noProof/>
                                <w:color w:val="FFFFFF" w:themeColor="background1"/>
                                <w:sz w:val="28"/>
                                <w:szCs w:val="28"/>
                              </w:rPr>
                              <w:drawing>
                                <wp:inline distT="0" distB="0" distL="0" distR="0" wp14:anchorId="0E2AF6B1" wp14:editId="21469DEC">
                                  <wp:extent cx="45720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Books-S3-icon[1].png"/>
                                          <pic:cNvPicPr/>
                                        </pic:nvPicPr>
                                        <pic:blipFill>
                                          <a:blip r:embed="rId13">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14:paraId="1254306B" w14:textId="77777777" w:rsidR="003A38C2" w:rsidRDefault="003A38C2" w:rsidP="003A38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7BEE739" id="Rectangle 8" o:spid="_x0000_s1027" style="position:absolute;margin-left:0;margin-top:1.15pt;width:224.25pt;height:24.7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" fillcolor="#00b0f0" strokecolor="#41719c" strokeweight="1pt">
                <v:textbox>
                  <w:txbxContent>
                    <w:p w:rsidR="003A38C2" w:rsidRPr="003A38C2" w:rsidRDefault="003A38C2" w:rsidP="003A38C2">
                      <w:pPr>
                        <w:pStyle w:val="ListParagraph"/>
                        <w:numPr>
                          <w:ilvl w:val="0"/>
                          <w:numId w:val="1"/>
                        </w:numPr>
                        <w:rPr>
                          <w:rFonts w:ascii="Calibri" w:hAnsi="Calibri"/>
                          <w:b/>
                          <w:color w:val="FFFFFF" w:themeColor="background1"/>
                          <w:sz w:val="28"/>
                          <w:szCs w:val="28"/>
                        </w:rPr>
                      </w:pPr>
                      <w:r w:rsidRPr="003A38C2">
                        <w:rPr>
                          <w:rFonts w:ascii="Calibri" w:hAnsi="Calibri"/>
                          <w:b/>
                          <w:color w:val="FFFFFF" w:themeColor="background1"/>
                          <w:sz w:val="28"/>
                          <w:szCs w:val="28"/>
                        </w:rPr>
                        <w:t>Job Exploration Counseling</w:t>
                      </w:r>
                      <w:r w:rsidR="000C4D2C">
                        <w:rPr>
                          <w:rFonts w:ascii="Calibri" w:hAnsi="Calibri"/>
                          <w:b/>
                          <w:color w:val="FFFFFF" w:themeColor="background1"/>
                          <w:sz w:val="28"/>
                          <w:szCs w:val="28"/>
                        </w:rPr>
                        <w:t xml:space="preserve"> </w:t>
                      </w:r>
                      <w:r w:rsidR="00CC72F7">
                        <w:rPr>
                          <w:rFonts w:ascii="Calibri" w:hAnsi="Calibri"/>
                          <w:b/>
                          <w:color w:val="FFFFFF" w:themeColor="background1"/>
                          <w:sz w:val="28"/>
                          <w:szCs w:val="28"/>
                        </w:rPr>
                        <w:t xml:space="preserve">  </w:t>
                      </w:r>
                      <w:r w:rsidR="000C4D2C">
                        <w:rPr>
                          <w:rFonts w:ascii="Calibri" w:hAnsi="Calibri"/>
                          <w:b/>
                          <w:noProof/>
                          <w:color w:val="FFFFFF" w:themeColor="background1"/>
                          <w:sz w:val="28"/>
                          <w:szCs w:val="28"/>
                        </w:rPr>
                        <w:drawing>
                          <wp:inline distT="0" distB="0" distL="0" distR="0" wp14:anchorId="763736E9" wp14:editId="3F427FC8">
                            <wp:extent cx="45720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Books-S3-icon[1].png"/>
                                    <pic:cNvPicPr/>
                                  </pic:nvPicPr>
                                  <pic:blipFill>
                                    <a:blip r:embed="rId16">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3A38C2" w:rsidRDefault="003A38C2" w:rsidP="003A38C2">
                      <w:pPr>
                        <w:jc w:val="center"/>
                      </w:pPr>
                    </w:p>
                  </w:txbxContent>
                </v:textbox>
                <w10:wrap type="square" anchorx="margin"/>
              </v:rect>
            </w:pict>
          </mc:Fallback>
        </mc:AlternateContent>
      </w:r>
      <w:r w:rsidR="00961660" w:rsidRPr="007677B0">
        <w:rPr>
          <w:rFonts w:ascii="Calibri" w:hAnsi="Calibri" w:cs="Courier New"/>
          <w:color w:val="000000"/>
          <w:sz w:val="24"/>
          <w:szCs w:val="24"/>
        </w:rPr>
        <w:t>may be pro</w:t>
      </w:r>
      <w:bookmarkStart w:id="0" w:name="_GoBack"/>
      <w:bookmarkEnd w:id="0"/>
      <w:r w:rsidR="00961660" w:rsidRPr="007677B0">
        <w:rPr>
          <w:rFonts w:ascii="Calibri" w:hAnsi="Calibri" w:cs="Courier New"/>
          <w:color w:val="000000"/>
          <w:sz w:val="24"/>
          <w:szCs w:val="24"/>
        </w:rPr>
        <w:t xml:space="preserve">vided in a classroom or community setting and include information regarding in-demand industry sectors and occupations, as well as non-traditional employment, labor market composition, administration of vocational interest inventories, and identification of career pathways of interest to the students. </w:t>
      </w:r>
      <w:r w:rsidR="003035E8">
        <w:rPr>
          <w:rFonts w:ascii="Calibri" w:hAnsi="Calibri" w:cs="Courier New"/>
          <w:color w:val="000000"/>
          <w:sz w:val="24"/>
          <w:szCs w:val="24"/>
        </w:rPr>
        <w:t xml:space="preserve"> </w:t>
      </w:r>
      <w:r w:rsidR="00961660" w:rsidRPr="007677B0">
        <w:rPr>
          <w:rFonts w:ascii="Calibri" w:hAnsi="Calibri" w:cs="Courier New"/>
          <w:color w:val="000000"/>
          <w:sz w:val="24"/>
          <w:szCs w:val="24"/>
        </w:rPr>
        <w:t>Job exploration counseling provided on an individual basis might be provided in school or the community and include discussion of the student’s vocational interest inventory results, in-demand occupations, career pathways, and local labor market information that applies to those particular interests.</w:t>
      </w:r>
    </w:p>
    <w:p w14:paraId="15942708" w14:textId="77777777" w:rsidR="00B61FDC" w:rsidRDefault="00B61FDC" w:rsidP="0097083D">
      <w:pPr>
        <w:rPr>
          <w:sz w:val="24"/>
          <w:szCs w:val="24"/>
        </w:rPr>
      </w:pPr>
      <w:r>
        <w:rPr>
          <w:b/>
          <w:noProof/>
          <w:sz w:val="28"/>
          <w:szCs w:val="28"/>
        </w:rPr>
        <w:drawing>
          <wp:anchor distT="0" distB="0" distL="114300" distR="114300" simplePos="0" relativeHeight="251699200" behindDoc="1" locked="0" layoutInCell="1" allowOverlap="1" wp14:anchorId="0AA5AA00" wp14:editId="10776BD0">
            <wp:simplePos x="0" y="0"/>
            <wp:positionH relativeFrom="column">
              <wp:posOffset>-457200</wp:posOffset>
            </wp:positionH>
            <wp:positionV relativeFrom="paragraph">
              <wp:posOffset>190500</wp:posOffset>
            </wp:positionV>
            <wp:extent cx="342900" cy="342900"/>
            <wp:effectExtent l="0" t="0" r="0" b="0"/>
            <wp:wrapTight wrapText="bothSides">
              <wp:wrapPolygon edited="0">
                <wp:start x="2400" y="0"/>
                <wp:lineTo x="0" y="2400"/>
                <wp:lineTo x="1200" y="7200"/>
                <wp:lineTo x="6000" y="19200"/>
                <wp:lineTo x="6000" y="20400"/>
                <wp:lineTo x="14400" y="20400"/>
                <wp:lineTo x="14400" y="19200"/>
                <wp:lineTo x="20400" y="4800"/>
                <wp:lineTo x="20400" y="1200"/>
                <wp:lineTo x="13200" y="0"/>
                <wp:lineTo x="2400" y="0"/>
              </wp:wrapPolygon>
            </wp:wrapTight>
            <wp:docPr id="40" name="Picture 40" title="Light 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dea[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6FAA2B28" w14:textId="77777777" w:rsidR="00B61FDC" w:rsidRPr="00531578" w:rsidRDefault="00B61FDC" w:rsidP="00B61FDC">
      <w:pPr>
        <w:pStyle w:val="NoSpacing"/>
        <w:numPr>
          <w:ilvl w:val="0"/>
          <w:numId w:val="2"/>
        </w:numPr>
        <w:ind w:left="284" w:hanging="284"/>
        <w:rPr>
          <w:rFonts w:asciiTheme="minorHAnsi" w:hAnsiTheme="minorHAnsi"/>
        </w:rPr>
      </w:pPr>
      <w:r w:rsidRPr="00531578">
        <w:rPr>
          <w:rFonts w:asciiTheme="minorHAnsi" w:hAnsiTheme="minorHAnsi"/>
        </w:rPr>
        <w:t>Help students complete interest inventories and explore careers using various paper and online resources.</w:t>
      </w:r>
    </w:p>
    <w:p w14:paraId="6E4681C8" w14:textId="77777777" w:rsidR="00B61FDC" w:rsidRPr="00531578" w:rsidRDefault="00B61FDC" w:rsidP="00B61FDC">
      <w:pPr>
        <w:pStyle w:val="NoSpacing"/>
        <w:numPr>
          <w:ilvl w:val="0"/>
          <w:numId w:val="2"/>
        </w:numPr>
        <w:ind w:left="284" w:hanging="284"/>
        <w:rPr>
          <w:rFonts w:asciiTheme="minorHAnsi" w:hAnsiTheme="minorHAnsi"/>
        </w:rPr>
      </w:pPr>
      <w:r w:rsidRPr="00531578">
        <w:rPr>
          <w:rFonts w:asciiTheme="minorHAnsi" w:hAnsiTheme="minorHAnsi"/>
        </w:rPr>
        <w:t>Provide opportunities for work on career exploration tools such as the Montana Career Information System (MCIS) (</w:t>
      </w:r>
      <w:hyperlink r:id="rId17" w:history="1">
        <w:r w:rsidRPr="00531578">
          <w:rPr>
            <w:rStyle w:val="Hyperlink"/>
            <w:rFonts w:asciiTheme="minorHAnsi" w:hAnsiTheme="minorHAnsi"/>
          </w:rPr>
          <w:t>https://mtcis.intocareers.org/</w:t>
        </w:r>
      </w:hyperlink>
      <w:r w:rsidR="00AD2343">
        <w:rPr>
          <w:rFonts w:asciiTheme="minorHAnsi" w:hAnsiTheme="minorHAnsi"/>
        </w:rPr>
        <w:t>), the Personal</w:t>
      </w:r>
      <w:r w:rsidRPr="00531578">
        <w:rPr>
          <w:rFonts w:asciiTheme="minorHAnsi" w:hAnsiTheme="minorHAnsi"/>
        </w:rPr>
        <w:t xml:space="preserve"> Employment Plan (PEP Talk) (</w:t>
      </w:r>
      <w:r w:rsidRPr="00B7408A">
        <w:rPr>
          <w:rFonts w:asciiTheme="minorHAnsi" w:hAnsiTheme="minorHAnsi"/>
          <w:color w:val="2F5496" w:themeColor="accent5" w:themeShade="BF"/>
          <w:u w:val="single"/>
        </w:rPr>
        <w:t>http</w:t>
      </w:r>
      <w:r w:rsidR="00AD2343" w:rsidRPr="00B7408A">
        <w:rPr>
          <w:rFonts w:asciiTheme="minorHAnsi" w:hAnsiTheme="minorHAnsi"/>
          <w:color w:val="2F5496" w:themeColor="accent5" w:themeShade="BF"/>
          <w:u w:val="single"/>
        </w:rPr>
        <w:t>s</w:t>
      </w:r>
      <w:r w:rsidRPr="00B7408A">
        <w:rPr>
          <w:rFonts w:asciiTheme="minorHAnsi" w:hAnsiTheme="minorHAnsi"/>
          <w:color w:val="2F5496" w:themeColor="accent5" w:themeShade="BF"/>
          <w:u w:val="single"/>
        </w:rPr>
        <w:t>://</w:t>
      </w:r>
      <w:r w:rsidR="00AD2343" w:rsidRPr="00B7408A">
        <w:rPr>
          <w:rFonts w:asciiTheme="minorHAnsi" w:hAnsiTheme="minorHAnsi"/>
          <w:color w:val="2F5496" w:themeColor="accent5" w:themeShade="BF"/>
          <w:u w:val="single"/>
        </w:rPr>
        <w:t>lmi.mt.gov/Portals/135/Publications/Career-Pubs/for%20job%20Seekers/PEP-Talk.pdf</w:t>
      </w:r>
      <w:r w:rsidRPr="00531578">
        <w:rPr>
          <w:rFonts w:asciiTheme="minorHAnsi" w:hAnsiTheme="minorHAnsi"/>
        </w:rPr>
        <w:t>) and the Montana Department of Labor &amp; Industry Career Resources website (</w:t>
      </w:r>
      <w:hyperlink r:id="rId18" w:history="1">
        <w:r w:rsidR="00AD2343" w:rsidRPr="009108EE">
          <w:rPr>
            <w:rStyle w:val="Hyperlink"/>
            <w:rFonts w:asciiTheme="minorHAnsi" w:hAnsiTheme="minorHAnsi" w:cs="Times New Roman"/>
            <w:szCs w:val="24"/>
          </w:rPr>
          <w:t>www.careers.mt.gov</w:t>
        </w:r>
      </w:hyperlink>
      <w:r w:rsidRPr="00531578">
        <w:rPr>
          <w:rFonts w:asciiTheme="minorHAnsi" w:hAnsiTheme="minorHAnsi"/>
        </w:rPr>
        <w:t>).</w:t>
      </w:r>
    </w:p>
    <w:p w14:paraId="21EDD75C" w14:textId="77777777" w:rsidR="00B61FDC" w:rsidRPr="00531578" w:rsidRDefault="00B61FDC" w:rsidP="00B61FDC">
      <w:pPr>
        <w:pStyle w:val="NoSpacing"/>
        <w:numPr>
          <w:ilvl w:val="0"/>
          <w:numId w:val="2"/>
        </w:numPr>
        <w:ind w:left="284" w:hanging="284"/>
        <w:rPr>
          <w:rFonts w:asciiTheme="minorHAnsi" w:hAnsiTheme="minorHAnsi"/>
        </w:rPr>
      </w:pPr>
      <w:r w:rsidRPr="00531578">
        <w:rPr>
          <w:rFonts w:asciiTheme="minorHAnsi" w:hAnsiTheme="minorHAnsi"/>
        </w:rPr>
        <w:t>Assist students to explore O*NET OnLine (</w:t>
      </w:r>
      <w:hyperlink r:id="rId19" w:history="1">
        <w:r w:rsidRPr="00531578">
          <w:rPr>
            <w:rStyle w:val="Hyperlink"/>
            <w:rFonts w:asciiTheme="minorHAnsi" w:hAnsiTheme="minorHAnsi"/>
          </w:rPr>
          <w:t>https://www.onetonline.org/</w:t>
        </w:r>
      </w:hyperlink>
      <w:r w:rsidRPr="00531578">
        <w:rPr>
          <w:rFonts w:asciiTheme="minorHAnsi" w:hAnsiTheme="minorHAnsi"/>
        </w:rPr>
        <w:t xml:space="preserve">), a tool for career exploration and job analysis. </w:t>
      </w:r>
    </w:p>
    <w:p w14:paraId="3C6BA815" w14:textId="77777777" w:rsidR="00B61FDC" w:rsidRPr="00531578" w:rsidRDefault="00B61FDC" w:rsidP="00B61FDC">
      <w:pPr>
        <w:pStyle w:val="NoSpacing"/>
        <w:numPr>
          <w:ilvl w:val="0"/>
          <w:numId w:val="2"/>
        </w:numPr>
        <w:ind w:left="284" w:hanging="284"/>
        <w:rPr>
          <w:rFonts w:asciiTheme="minorHAnsi" w:hAnsiTheme="minorHAnsi"/>
        </w:rPr>
      </w:pPr>
      <w:r w:rsidRPr="00531578">
        <w:rPr>
          <w:rFonts w:asciiTheme="minorHAnsi" w:hAnsiTheme="minorHAnsi"/>
        </w:rPr>
        <w:t>Provide opportunities to explore Transition-to-Work inventories and facilitate follow-up discussions afterward.</w:t>
      </w:r>
    </w:p>
    <w:p w14:paraId="091C084C" w14:textId="77777777" w:rsidR="00B61FDC" w:rsidRPr="00531578" w:rsidRDefault="00B61FDC" w:rsidP="00B61FDC">
      <w:pPr>
        <w:pStyle w:val="NoSpacing"/>
        <w:numPr>
          <w:ilvl w:val="0"/>
          <w:numId w:val="2"/>
        </w:numPr>
        <w:ind w:left="284" w:hanging="284"/>
        <w:rPr>
          <w:rFonts w:asciiTheme="minorHAnsi" w:hAnsiTheme="minorHAnsi"/>
        </w:rPr>
      </w:pPr>
      <w:r w:rsidRPr="00531578">
        <w:rPr>
          <w:rFonts w:asciiTheme="minorHAnsi" w:hAnsiTheme="minorHAnsi"/>
        </w:rPr>
        <w:t xml:space="preserve">Offer a high school course on career choices. </w:t>
      </w:r>
    </w:p>
    <w:p w14:paraId="1376F6D9" w14:textId="77777777" w:rsidR="00B61FDC" w:rsidRPr="00531578" w:rsidRDefault="00B61FDC" w:rsidP="00B61FDC">
      <w:pPr>
        <w:pStyle w:val="NoSpacing"/>
        <w:numPr>
          <w:ilvl w:val="0"/>
          <w:numId w:val="2"/>
        </w:numPr>
        <w:ind w:left="284" w:hanging="284"/>
        <w:rPr>
          <w:rFonts w:asciiTheme="minorHAnsi" w:hAnsiTheme="minorHAnsi"/>
        </w:rPr>
      </w:pPr>
      <w:r w:rsidRPr="00531578">
        <w:rPr>
          <w:rFonts w:asciiTheme="minorHAnsi" w:hAnsiTheme="minorHAnsi"/>
        </w:rPr>
        <w:t xml:space="preserve">Provide experience interviewing workers in the community during local business tours.  </w:t>
      </w:r>
    </w:p>
    <w:p w14:paraId="55E88EE4" w14:textId="77777777" w:rsidR="00B61FDC" w:rsidRPr="00531578" w:rsidRDefault="00B61FDC" w:rsidP="00B61FDC">
      <w:pPr>
        <w:pStyle w:val="NoSpacing"/>
        <w:numPr>
          <w:ilvl w:val="0"/>
          <w:numId w:val="2"/>
        </w:numPr>
        <w:ind w:left="284" w:hanging="284"/>
        <w:rPr>
          <w:rFonts w:asciiTheme="minorHAnsi" w:hAnsiTheme="minorHAnsi"/>
        </w:rPr>
      </w:pPr>
      <w:r w:rsidRPr="00531578">
        <w:rPr>
          <w:rFonts w:asciiTheme="minorHAnsi" w:hAnsiTheme="minorHAnsi"/>
        </w:rPr>
        <w:lastRenderedPageBreak/>
        <w:t>Arrange for students to hear guest speakers talking about a variety of jobs and careers (online and/or in person).</w:t>
      </w:r>
    </w:p>
    <w:p w14:paraId="55BE932C" w14:textId="77777777" w:rsidR="00B61FDC" w:rsidRPr="00531578" w:rsidRDefault="00B61FDC" w:rsidP="00B61FDC">
      <w:pPr>
        <w:pStyle w:val="NoSpacing"/>
        <w:numPr>
          <w:ilvl w:val="0"/>
          <w:numId w:val="2"/>
        </w:numPr>
        <w:ind w:left="284" w:hanging="284"/>
        <w:rPr>
          <w:rFonts w:asciiTheme="minorHAnsi" w:hAnsiTheme="minorHAnsi"/>
        </w:rPr>
      </w:pPr>
      <w:r w:rsidRPr="00531578">
        <w:rPr>
          <w:rFonts w:asciiTheme="minorHAnsi" w:hAnsiTheme="minorHAnsi"/>
        </w:rPr>
        <w:t>Coordinate a panel of entrepreneurs to speak to students.</w:t>
      </w:r>
    </w:p>
    <w:p w14:paraId="0B20F0BB" w14:textId="77777777" w:rsidR="00B61FDC" w:rsidRPr="00531578" w:rsidRDefault="00B61FDC" w:rsidP="00B61FDC">
      <w:pPr>
        <w:pStyle w:val="NoSpacing"/>
        <w:numPr>
          <w:ilvl w:val="0"/>
          <w:numId w:val="2"/>
        </w:numPr>
        <w:ind w:left="284" w:hanging="284"/>
        <w:rPr>
          <w:rFonts w:asciiTheme="minorHAnsi" w:hAnsiTheme="minorHAnsi"/>
        </w:rPr>
      </w:pPr>
      <w:r w:rsidRPr="00531578">
        <w:rPr>
          <w:rFonts w:asciiTheme="minorHAnsi" w:hAnsiTheme="minorHAnsi"/>
        </w:rPr>
        <w:t>Coordinate a panel of Tribal Elders or an intergenerational panel on Employment and Native Trades.</w:t>
      </w:r>
    </w:p>
    <w:p w14:paraId="09BFDF13" w14:textId="77777777" w:rsidR="00B61FDC" w:rsidRPr="00531578" w:rsidRDefault="00B61FDC" w:rsidP="00B61FDC">
      <w:pPr>
        <w:pStyle w:val="NoSpacing"/>
        <w:numPr>
          <w:ilvl w:val="0"/>
          <w:numId w:val="2"/>
        </w:numPr>
        <w:ind w:left="284" w:hanging="284"/>
        <w:rPr>
          <w:rFonts w:asciiTheme="minorHAnsi" w:hAnsiTheme="minorHAnsi"/>
        </w:rPr>
      </w:pPr>
      <w:r w:rsidRPr="00531578">
        <w:rPr>
          <w:rFonts w:asciiTheme="minorHAnsi" w:hAnsiTheme="minorHAnsi"/>
        </w:rPr>
        <w:t>Provide a career fair or “real life fair” for high school students.</w:t>
      </w:r>
    </w:p>
    <w:p w14:paraId="20DD84AA" w14:textId="77777777" w:rsidR="00B61FDC" w:rsidRPr="00531578" w:rsidRDefault="00B61FDC" w:rsidP="00B61FDC">
      <w:pPr>
        <w:pStyle w:val="NoSpacing"/>
        <w:numPr>
          <w:ilvl w:val="0"/>
          <w:numId w:val="2"/>
        </w:numPr>
        <w:ind w:left="284" w:hanging="284"/>
        <w:rPr>
          <w:rFonts w:asciiTheme="minorHAnsi" w:hAnsiTheme="minorHAnsi"/>
        </w:rPr>
      </w:pPr>
      <w:r w:rsidRPr="00531578">
        <w:rPr>
          <w:rFonts w:asciiTheme="minorHAnsi" w:hAnsiTheme="minorHAnsi"/>
        </w:rPr>
        <w:t>Create virtual job shadows that students can watch online.</w:t>
      </w:r>
    </w:p>
    <w:p w14:paraId="6D374067" w14:textId="77777777" w:rsidR="00B61FDC" w:rsidRPr="00531578" w:rsidRDefault="00B61FDC" w:rsidP="00B61FDC">
      <w:pPr>
        <w:pStyle w:val="NoSpacing"/>
        <w:numPr>
          <w:ilvl w:val="0"/>
          <w:numId w:val="2"/>
        </w:numPr>
        <w:ind w:left="284" w:hanging="284"/>
        <w:rPr>
          <w:rFonts w:asciiTheme="minorHAnsi" w:hAnsiTheme="minorHAnsi"/>
        </w:rPr>
      </w:pPr>
      <w:r w:rsidRPr="00531578">
        <w:rPr>
          <w:rFonts w:asciiTheme="minorHAnsi" w:hAnsiTheme="minorHAnsi"/>
        </w:rPr>
        <w:t>Explore pre-apprenticeship programs.</w:t>
      </w:r>
    </w:p>
    <w:p w14:paraId="7BAE96AA" w14:textId="77777777" w:rsidR="00B61FDC" w:rsidRPr="00531578" w:rsidRDefault="00B61FDC" w:rsidP="00B61FDC">
      <w:pPr>
        <w:pStyle w:val="NoSpacing"/>
        <w:numPr>
          <w:ilvl w:val="0"/>
          <w:numId w:val="2"/>
        </w:numPr>
        <w:ind w:left="284" w:hanging="284"/>
        <w:rPr>
          <w:rFonts w:asciiTheme="minorHAnsi" w:hAnsiTheme="minorHAnsi"/>
        </w:rPr>
      </w:pPr>
      <w:r w:rsidRPr="00531578">
        <w:rPr>
          <w:rFonts w:asciiTheme="minorHAnsi" w:hAnsiTheme="minorHAnsi"/>
        </w:rPr>
        <w:t xml:space="preserve">Share information about the differences between labor market employment and negotiated employment. </w:t>
      </w:r>
    </w:p>
    <w:p w14:paraId="73D703A5" w14:textId="77777777" w:rsidR="00B61FDC" w:rsidRPr="00531578" w:rsidRDefault="00B61FDC" w:rsidP="00B61FDC">
      <w:pPr>
        <w:pStyle w:val="NoSpacing"/>
        <w:numPr>
          <w:ilvl w:val="0"/>
          <w:numId w:val="2"/>
        </w:numPr>
        <w:ind w:left="284" w:hanging="284"/>
        <w:rPr>
          <w:rFonts w:asciiTheme="minorHAnsi" w:hAnsiTheme="minorHAnsi"/>
        </w:rPr>
      </w:pPr>
      <w:r w:rsidRPr="00531578">
        <w:rPr>
          <w:rFonts w:asciiTheme="minorHAnsi" w:hAnsiTheme="minorHAnsi"/>
        </w:rPr>
        <w:t>Conduct a Group Discovery Class in the classroom to gather information about student skills, support needs, strengths and experiences.</w:t>
      </w:r>
    </w:p>
    <w:p w14:paraId="1AB3D5F1" w14:textId="77777777" w:rsidR="00B61FDC" w:rsidRDefault="00B61FDC" w:rsidP="00B61FDC">
      <w:pPr>
        <w:pStyle w:val="NoSpacing"/>
        <w:numPr>
          <w:ilvl w:val="0"/>
          <w:numId w:val="2"/>
        </w:numPr>
        <w:ind w:left="284" w:hanging="284"/>
        <w:rPr>
          <w:rFonts w:asciiTheme="minorHAnsi" w:hAnsiTheme="minorHAnsi"/>
        </w:rPr>
      </w:pPr>
      <w:r w:rsidRPr="00531578">
        <w:rPr>
          <w:rFonts w:asciiTheme="minorHAnsi" w:hAnsiTheme="minorHAnsi"/>
        </w:rPr>
        <w:t>Teach a class on financial literacy, addressing questions such as: Can I work if I am receiving SSI? What would I want to spend money on from my first job? How much money do I need to earn?</w:t>
      </w:r>
    </w:p>
    <w:p w14:paraId="6D729E00" w14:textId="77777777" w:rsidR="00E93A62" w:rsidRPr="00531578" w:rsidRDefault="00E93A62" w:rsidP="00E93A62">
      <w:pPr>
        <w:pStyle w:val="NoSpacing"/>
        <w:rPr>
          <w:rFonts w:asciiTheme="minorHAnsi" w:hAnsiTheme="minorHAnsi"/>
        </w:rPr>
      </w:pPr>
    </w:p>
    <w:p w14:paraId="4B01BB31" w14:textId="77777777" w:rsidR="0097083D" w:rsidRPr="007677B0" w:rsidRDefault="0097083D" w:rsidP="00961660">
      <w:pPr>
        <w:autoSpaceDE w:val="0"/>
        <w:autoSpaceDN w:val="0"/>
        <w:adjustRightInd w:val="0"/>
        <w:spacing w:after="0" w:line="240" w:lineRule="auto"/>
        <w:rPr>
          <w:rFonts w:ascii="Calibri" w:hAnsi="Calibri" w:cs="Courier New"/>
          <w:color w:val="000000"/>
          <w:sz w:val="24"/>
          <w:szCs w:val="24"/>
        </w:rPr>
      </w:pPr>
    </w:p>
    <w:p w14:paraId="1C771D92" w14:textId="77777777" w:rsidR="00961660" w:rsidRPr="007677B0" w:rsidRDefault="00CC72F7" w:rsidP="00961660">
      <w:pPr>
        <w:autoSpaceDE w:val="0"/>
        <w:autoSpaceDN w:val="0"/>
        <w:adjustRightInd w:val="0"/>
        <w:spacing w:after="0" w:line="240" w:lineRule="auto"/>
        <w:rPr>
          <w:rFonts w:ascii="Calibri" w:hAnsi="Calibri" w:cs="Courier New"/>
          <w:color w:val="000000"/>
          <w:sz w:val="24"/>
          <w:szCs w:val="24"/>
        </w:rPr>
      </w:pPr>
      <w:r>
        <w:rPr>
          <w:rFonts w:ascii="Calibri" w:hAnsi="Calibri" w:cs="Courier New"/>
          <w:noProof/>
          <w:color w:val="000000"/>
          <w:sz w:val="24"/>
          <w:szCs w:val="24"/>
        </w:rPr>
        <w:drawing>
          <wp:anchor distT="0" distB="0" distL="114300" distR="114300" simplePos="0" relativeHeight="251688960" behindDoc="1" locked="0" layoutInCell="1" allowOverlap="1" wp14:anchorId="5E636CD3" wp14:editId="2752C6C7">
            <wp:simplePos x="0" y="0"/>
            <wp:positionH relativeFrom="column">
              <wp:posOffset>-391160</wp:posOffset>
            </wp:positionH>
            <wp:positionV relativeFrom="paragraph">
              <wp:posOffset>195580</wp:posOffset>
            </wp:positionV>
            <wp:extent cx="264160" cy="264160"/>
            <wp:effectExtent l="0" t="0" r="2540" b="2540"/>
            <wp:wrapTight wrapText="bothSides">
              <wp:wrapPolygon edited="0">
                <wp:start x="6231" y="0"/>
                <wp:lineTo x="0" y="7788"/>
                <wp:lineTo x="0" y="18692"/>
                <wp:lineTo x="6231" y="20250"/>
                <wp:lineTo x="15577" y="20250"/>
                <wp:lineTo x="20250" y="12462"/>
                <wp:lineTo x="20250" y="0"/>
                <wp:lineTo x="15577" y="0"/>
                <wp:lineTo x="6231" y="0"/>
              </wp:wrapPolygon>
            </wp:wrapTight>
            <wp:docPr id="36" name="Picture 36" titl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rinted-Matter-Book-ico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14:sizeRelH relativeFrom="page">
              <wp14:pctWidth>0</wp14:pctWidth>
            </wp14:sizeRelH>
            <wp14:sizeRelV relativeFrom="page">
              <wp14:pctHeight>0</wp14:pctHeight>
            </wp14:sizeRelV>
          </wp:anchor>
        </w:drawing>
      </w:r>
    </w:p>
    <w:p w14:paraId="20B62A8E" w14:textId="630BD979" w:rsidR="00B7408A" w:rsidRDefault="00CC72F7" w:rsidP="00961660">
      <w:pPr>
        <w:autoSpaceDE w:val="0"/>
        <w:autoSpaceDN w:val="0"/>
        <w:adjustRightInd w:val="0"/>
        <w:spacing w:after="0" w:line="240" w:lineRule="auto"/>
        <w:rPr>
          <w:rFonts w:ascii="Calibri" w:hAnsi="Calibri" w:cs="Courier New"/>
          <w:color w:val="000000"/>
          <w:sz w:val="24"/>
          <w:szCs w:val="24"/>
        </w:rPr>
      </w:pPr>
      <w:r>
        <w:rPr>
          <w:rFonts w:ascii="Calibri" w:hAnsi="Calibri"/>
          <w:noProof/>
          <w:sz w:val="24"/>
          <w:szCs w:val="24"/>
        </w:rPr>
        <mc:AlternateContent>
          <mc:Choice Requires="wps">
            <w:drawing>
              <wp:anchor distT="0" distB="0" distL="114300" distR="114300" simplePos="0" relativeHeight="251667456" behindDoc="1" locked="0" layoutInCell="1" allowOverlap="1" wp14:anchorId="2DA077E4" wp14:editId="00243721">
                <wp:simplePos x="0" y="0"/>
                <wp:positionH relativeFrom="margin">
                  <wp:align>left</wp:align>
                </wp:positionH>
                <wp:positionV relativeFrom="paragraph">
                  <wp:posOffset>6350</wp:posOffset>
                </wp:positionV>
                <wp:extent cx="3305175" cy="323850"/>
                <wp:effectExtent l="0" t="0" r="28575" b="19050"/>
                <wp:wrapTight wrapText="bothSides">
                  <wp:wrapPolygon edited="0">
                    <wp:start x="0" y="0"/>
                    <wp:lineTo x="0" y="21600"/>
                    <wp:lineTo x="21662" y="21600"/>
                    <wp:lineTo x="21662" y="0"/>
                    <wp:lineTo x="0" y="0"/>
                  </wp:wrapPolygon>
                </wp:wrapTight>
                <wp:docPr id="9" name="Rectangle 9"/>
                <wp:cNvGraphicFramePr/>
                <a:graphic xmlns:a="http://schemas.openxmlformats.org/drawingml/2006/main">
                  <a:graphicData uri="http://schemas.microsoft.com/office/word/2010/wordprocessingShape">
                    <wps:wsp>
                      <wps:cNvSpPr/>
                      <wps:spPr>
                        <a:xfrm>
                          <a:off x="0" y="0"/>
                          <a:ext cx="3305175" cy="323850"/>
                        </a:xfrm>
                        <a:prstGeom prst="rect">
                          <a:avLst/>
                        </a:prstGeom>
                        <a:solidFill>
                          <a:srgbClr val="00B050"/>
                        </a:solidFill>
                        <a:ln w="12700" cap="flat" cmpd="sng" algn="ctr">
                          <a:solidFill>
                            <a:srgbClr val="5B9BD5">
                              <a:shade val="50000"/>
                            </a:srgbClr>
                          </a:solidFill>
                          <a:prstDash val="solid"/>
                          <a:miter lim="800000"/>
                        </a:ln>
                        <a:effectLst/>
                      </wps:spPr>
                      <wps:txbx>
                        <w:txbxContent>
                          <w:p w14:paraId="12BA327E" w14:textId="77777777" w:rsidR="00982F82" w:rsidRDefault="00982F82" w:rsidP="00982F82">
                            <w:pPr>
                              <w:jc w:val="center"/>
                            </w:pPr>
                            <w:r>
                              <w:rPr>
                                <w:rFonts w:ascii="Calibri" w:hAnsi="Calibri"/>
                                <w:b/>
                                <w:color w:val="FFFFFF" w:themeColor="background1"/>
                                <w:sz w:val="28"/>
                                <w:szCs w:val="28"/>
                              </w:rPr>
                              <w:t xml:space="preserve">2.  </w:t>
                            </w:r>
                            <w:r w:rsidRPr="00E554F2">
                              <w:rPr>
                                <w:rFonts w:ascii="Calibri" w:hAnsi="Calibri"/>
                                <w:b/>
                                <w:color w:val="FFFFFF" w:themeColor="background1"/>
                                <w:sz w:val="28"/>
                                <w:szCs w:val="28"/>
                              </w:rPr>
                              <w:t>Work-Based Learning Experiences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B1B95A0" id="Rectangle 9" o:spid="_x0000_s1028" style="position:absolute;margin-left:0;margin-top:.5pt;width:260.25pt;height:25.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" fillcolor="#00b050" strokecolor="#41719c" strokeweight="1pt">
                <v:textbox>
                  <w:txbxContent>
                    <w:p w:rsidR="00982F82" w:rsidRDefault="00982F82" w:rsidP="00982F82">
                      <w:pPr>
                        <w:jc w:val="center"/>
                      </w:pPr>
                      <w:r>
                        <w:rPr>
                          <w:rFonts w:ascii="Calibri" w:hAnsi="Calibri"/>
                          <w:b/>
                          <w:color w:val="FFFFFF" w:themeColor="background1"/>
                          <w:sz w:val="28"/>
                          <w:szCs w:val="28"/>
                        </w:rPr>
                        <w:t xml:space="preserve">2.  </w:t>
                      </w:r>
                      <w:r w:rsidRPr="00E554F2">
                        <w:rPr>
                          <w:rFonts w:ascii="Calibri" w:hAnsi="Calibri"/>
                          <w:b/>
                          <w:color w:val="FFFFFF" w:themeColor="background1"/>
                          <w:sz w:val="28"/>
                          <w:szCs w:val="28"/>
                        </w:rPr>
                        <w:t>Work-Based Learning Experiences</w:t>
                      </w:r>
                    </w:p>
                  </w:txbxContent>
                </v:textbox>
                <w10:wrap type="tight" anchorx="margin"/>
              </v:rect>
            </w:pict>
          </mc:Fallback>
        </mc:AlternateContent>
      </w:r>
      <w:r w:rsidR="00B7408A">
        <w:rPr>
          <w:rFonts w:ascii="Calibri" w:hAnsi="Calibri" w:cs="Courier New"/>
          <w:color w:val="000000"/>
          <w:sz w:val="24"/>
          <w:szCs w:val="24"/>
        </w:rPr>
        <w:t xml:space="preserve">which may include in-school or after-school opportunities, or experience outside the traditional school setting (including internships), that is provided in an integrated environment in the community to the maximum extent possible.  Work-based learning experiences </w:t>
      </w:r>
      <w:r w:rsidR="00961660" w:rsidRPr="007677B0">
        <w:rPr>
          <w:rFonts w:ascii="Calibri" w:hAnsi="Calibri" w:cs="Courier New"/>
          <w:color w:val="000000"/>
          <w:sz w:val="24"/>
          <w:szCs w:val="24"/>
        </w:rPr>
        <w:t xml:space="preserve">in a group setting may include coordinating a school-based program of job training and informational interviews to research employers, work-site tours to learn about necessary job skills, job shadowing, or mentoring opportunities in the community. </w:t>
      </w:r>
      <w:r w:rsidR="003035E8">
        <w:rPr>
          <w:rFonts w:ascii="Calibri" w:hAnsi="Calibri" w:cs="Courier New"/>
          <w:color w:val="000000"/>
          <w:sz w:val="24"/>
          <w:szCs w:val="24"/>
        </w:rPr>
        <w:t xml:space="preserve"> </w:t>
      </w:r>
      <w:r w:rsidR="00961660" w:rsidRPr="007677B0">
        <w:rPr>
          <w:rFonts w:ascii="Calibri" w:hAnsi="Calibri" w:cs="Courier New"/>
          <w:color w:val="000000"/>
          <w:sz w:val="24"/>
          <w:szCs w:val="24"/>
        </w:rPr>
        <w:t xml:space="preserve">Work-based learning experiences on an individual basis could include work experiences to explore the student’s area of interest through paid and unpaid internships, apprenticeships (not including pre-apprenticeships and Registered Apprenticeships), </w:t>
      </w:r>
      <w:r w:rsidR="00C45802">
        <w:rPr>
          <w:rFonts w:ascii="Calibri" w:hAnsi="Calibri" w:cs="Courier New"/>
          <w:color w:val="000000"/>
          <w:sz w:val="24"/>
          <w:szCs w:val="24"/>
        </w:rPr>
        <w:t>volunteering</w:t>
      </w:r>
      <w:r w:rsidR="00961660" w:rsidRPr="007677B0">
        <w:rPr>
          <w:rFonts w:ascii="Calibri" w:hAnsi="Calibri" w:cs="Courier New"/>
          <w:color w:val="000000"/>
          <w:sz w:val="24"/>
          <w:szCs w:val="24"/>
        </w:rPr>
        <w:t xml:space="preserve">, </w:t>
      </w:r>
      <w:r w:rsidR="00C45802">
        <w:rPr>
          <w:rFonts w:ascii="Calibri" w:hAnsi="Calibri" w:cs="Courier New"/>
          <w:color w:val="000000"/>
          <w:sz w:val="24"/>
          <w:szCs w:val="24"/>
        </w:rPr>
        <w:t>practicum experiences</w:t>
      </w:r>
      <w:r w:rsidR="00961660" w:rsidRPr="007677B0">
        <w:rPr>
          <w:rFonts w:ascii="Calibri" w:hAnsi="Calibri" w:cs="Courier New"/>
          <w:color w:val="000000"/>
          <w:sz w:val="24"/>
          <w:szCs w:val="24"/>
        </w:rPr>
        <w:t xml:space="preserve">, or on-the-job trainings located in the community. </w:t>
      </w:r>
      <w:r w:rsidR="003035E8">
        <w:rPr>
          <w:rFonts w:ascii="Calibri" w:hAnsi="Calibri" w:cs="Courier New"/>
          <w:color w:val="000000"/>
          <w:sz w:val="24"/>
          <w:szCs w:val="24"/>
        </w:rPr>
        <w:t xml:space="preserve"> </w:t>
      </w:r>
      <w:r w:rsidR="00961660" w:rsidRPr="007677B0">
        <w:rPr>
          <w:rFonts w:ascii="Calibri" w:hAnsi="Calibri" w:cs="Courier New"/>
          <w:color w:val="000000"/>
          <w:sz w:val="24"/>
          <w:szCs w:val="24"/>
        </w:rPr>
        <w:t xml:space="preserve">These services are those that would be most beneficial to an individual in the early stages of employment exploration during the transition process from school to post-school activities, including employment. </w:t>
      </w:r>
      <w:r w:rsidR="003035E8">
        <w:rPr>
          <w:rFonts w:ascii="Calibri" w:hAnsi="Calibri" w:cs="Courier New"/>
          <w:color w:val="000000"/>
          <w:sz w:val="24"/>
          <w:szCs w:val="24"/>
        </w:rPr>
        <w:t xml:space="preserve"> </w:t>
      </w:r>
    </w:p>
    <w:p w14:paraId="078B4C20" w14:textId="77777777" w:rsidR="00B7408A" w:rsidRDefault="00B7408A" w:rsidP="00961660">
      <w:pPr>
        <w:autoSpaceDE w:val="0"/>
        <w:autoSpaceDN w:val="0"/>
        <w:adjustRightInd w:val="0"/>
        <w:spacing w:after="0" w:line="240" w:lineRule="auto"/>
        <w:rPr>
          <w:rFonts w:ascii="Calibri" w:hAnsi="Calibri" w:cs="Courier New"/>
          <w:color w:val="000000"/>
          <w:sz w:val="24"/>
          <w:szCs w:val="24"/>
        </w:rPr>
      </w:pPr>
    </w:p>
    <w:p w14:paraId="05F4267E" w14:textId="77777777" w:rsidR="00CC72F7" w:rsidRDefault="00B7408A" w:rsidP="00961660">
      <w:pPr>
        <w:autoSpaceDE w:val="0"/>
        <w:autoSpaceDN w:val="0"/>
        <w:adjustRightInd w:val="0"/>
        <w:spacing w:after="0" w:line="240" w:lineRule="auto"/>
        <w:rPr>
          <w:rFonts w:ascii="Calibri" w:hAnsi="Calibri" w:cs="Courier New"/>
          <w:color w:val="000000"/>
          <w:sz w:val="24"/>
          <w:szCs w:val="24"/>
        </w:rPr>
      </w:pPr>
      <w:r>
        <w:rPr>
          <w:rFonts w:ascii="Calibri" w:hAnsi="Calibri" w:cs="Courier New"/>
          <w:color w:val="000000"/>
          <w:sz w:val="24"/>
          <w:szCs w:val="24"/>
        </w:rPr>
        <w:t xml:space="preserve">Note:  </w:t>
      </w:r>
      <w:r w:rsidR="00961660" w:rsidRPr="007677B0">
        <w:rPr>
          <w:rFonts w:ascii="Calibri" w:hAnsi="Calibri" w:cs="Courier New"/>
          <w:color w:val="000000"/>
          <w:sz w:val="24"/>
          <w:szCs w:val="24"/>
        </w:rPr>
        <w:t>Should a student need more individualized services (e.g.,</w:t>
      </w:r>
      <w:r w:rsidR="000303A1">
        <w:rPr>
          <w:rFonts w:ascii="Calibri" w:hAnsi="Calibri" w:cs="Courier New"/>
          <w:color w:val="000000"/>
          <w:sz w:val="24"/>
          <w:szCs w:val="24"/>
        </w:rPr>
        <w:t xml:space="preserve"> </w:t>
      </w:r>
      <w:r w:rsidR="00961660" w:rsidRPr="007677B0">
        <w:rPr>
          <w:rFonts w:ascii="Calibri" w:hAnsi="Calibri" w:cs="Courier New"/>
          <w:color w:val="000000"/>
          <w:sz w:val="24"/>
          <w:szCs w:val="24"/>
        </w:rPr>
        <w:t>job coaching, orientation and mobility training, travel expenses, uniforms or assistive technology), he or she would need to apply and be determined eligible for vocational rehabilitation services and develop and have an approved individualized plan for employment.</w:t>
      </w:r>
    </w:p>
    <w:p w14:paraId="02757277" w14:textId="77777777" w:rsidR="00A30166" w:rsidRDefault="00A30166" w:rsidP="00961660">
      <w:pPr>
        <w:autoSpaceDE w:val="0"/>
        <w:autoSpaceDN w:val="0"/>
        <w:adjustRightInd w:val="0"/>
        <w:spacing w:after="0" w:line="240" w:lineRule="auto"/>
        <w:rPr>
          <w:rFonts w:ascii="Calibri" w:hAnsi="Calibri" w:cs="Courier New"/>
          <w:color w:val="000000"/>
          <w:sz w:val="24"/>
          <w:szCs w:val="24"/>
        </w:rPr>
      </w:pPr>
      <w:r>
        <w:rPr>
          <w:b/>
          <w:noProof/>
          <w:sz w:val="28"/>
          <w:szCs w:val="28"/>
        </w:rPr>
        <w:drawing>
          <wp:anchor distT="0" distB="0" distL="114300" distR="114300" simplePos="0" relativeHeight="251704320" behindDoc="1" locked="0" layoutInCell="1" allowOverlap="1" wp14:anchorId="0863A38A" wp14:editId="7185A199">
            <wp:simplePos x="0" y="0"/>
            <wp:positionH relativeFrom="column">
              <wp:posOffset>-457200</wp:posOffset>
            </wp:positionH>
            <wp:positionV relativeFrom="paragraph">
              <wp:posOffset>194945</wp:posOffset>
            </wp:positionV>
            <wp:extent cx="342900" cy="342900"/>
            <wp:effectExtent l="0" t="0" r="0" b="0"/>
            <wp:wrapTight wrapText="bothSides">
              <wp:wrapPolygon edited="0">
                <wp:start x="2400" y="0"/>
                <wp:lineTo x="0" y="2400"/>
                <wp:lineTo x="1200" y="7200"/>
                <wp:lineTo x="6000" y="19200"/>
                <wp:lineTo x="6000" y="20400"/>
                <wp:lineTo x="14400" y="20400"/>
                <wp:lineTo x="14400" y="19200"/>
                <wp:lineTo x="20400" y="4800"/>
                <wp:lineTo x="20400" y="1200"/>
                <wp:lineTo x="13200" y="0"/>
                <wp:lineTo x="2400" y="0"/>
              </wp:wrapPolygon>
            </wp:wrapTight>
            <wp:docPr id="47" name="Picture 47" title="Light 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dea[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6EB4E5AB" w14:textId="77777777" w:rsidR="00A30166" w:rsidRPr="00531578" w:rsidRDefault="00A30166" w:rsidP="00A30166">
      <w:pPr>
        <w:pStyle w:val="NoSpacing"/>
        <w:numPr>
          <w:ilvl w:val="0"/>
          <w:numId w:val="3"/>
        </w:numPr>
        <w:ind w:left="284" w:hanging="284"/>
        <w:rPr>
          <w:rFonts w:asciiTheme="minorHAnsi" w:hAnsiTheme="minorHAnsi"/>
        </w:rPr>
      </w:pPr>
      <w:r w:rsidRPr="00531578">
        <w:rPr>
          <w:rFonts w:asciiTheme="minorHAnsi" w:hAnsiTheme="minorHAnsi"/>
        </w:rPr>
        <w:t xml:space="preserve">Coordinate with local Job Service personnel to provide in-school sessions and/or visits to the local Job Service office. </w:t>
      </w:r>
    </w:p>
    <w:p w14:paraId="2CDBB1EF" w14:textId="77777777" w:rsidR="00A30166" w:rsidRPr="00531578" w:rsidRDefault="00A30166" w:rsidP="00A30166">
      <w:pPr>
        <w:pStyle w:val="NoSpacing"/>
        <w:numPr>
          <w:ilvl w:val="0"/>
          <w:numId w:val="3"/>
        </w:numPr>
        <w:ind w:left="284" w:hanging="284"/>
        <w:rPr>
          <w:rFonts w:asciiTheme="minorHAnsi" w:hAnsiTheme="minorHAnsi"/>
        </w:rPr>
      </w:pPr>
      <w:r w:rsidRPr="00531578">
        <w:rPr>
          <w:rFonts w:asciiTheme="minorHAnsi" w:hAnsiTheme="minorHAnsi"/>
        </w:rPr>
        <w:t>Build a network of local community-based work experiences, including opportunities for one-day job shadows and longer term work experiences.</w:t>
      </w:r>
    </w:p>
    <w:p w14:paraId="0345DC18" w14:textId="77777777" w:rsidR="00A30166" w:rsidRPr="00531578" w:rsidRDefault="00A30166" w:rsidP="00A30166">
      <w:pPr>
        <w:pStyle w:val="NoSpacing"/>
        <w:numPr>
          <w:ilvl w:val="0"/>
          <w:numId w:val="3"/>
        </w:numPr>
        <w:ind w:left="284" w:hanging="284"/>
        <w:rPr>
          <w:rFonts w:asciiTheme="minorHAnsi" w:hAnsiTheme="minorHAnsi"/>
        </w:rPr>
      </w:pPr>
      <w:r w:rsidRPr="00531578">
        <w:rPr>
          <w:rFonts w:asciiTheme="minorHAnsi" w:hAnsiTheme="minorHAnsi"/>
        </w:rPr>
        <w:t xml:space="preserve">Facilitate job shadowing and mentoring at local businesses.  </w:t>
      </w:r>
    </w:p>
    <w:p w14:paraId="2A193606" w14:textId="77777777" w:rsidR="00A30166" w:rsidRPr="00531578" w:rsidRDefault="00A30166" w:rsidP="00A30166">
      <w:pPr>
        <w:pStyle w:val="NoSpacing"/>
        <w:numPr>
          <w:ilvl w:val="0"/>
          <w:numId w:val="3"/>
        </w:numPr>
        <w:ind w:left="284" w:hanging="284"/>
        <w:rPr>
          <w:rFonts w:asciiTheme="minorHAnsi" w:hAnsiTheme="minorHAnsi"/>
        </w:rPr>
      </w:pPr>
      <w:r w:rsidRPr="00531578">
        <w:rPr>
          <w:rFonts w:asciiTheme="minorHAnsi" w:hAnsiTheme="minorHAnsi"/>
        </w:rPr>
        <w:t xml:space="preserve">Identify individuals who have disabilities and can offer first-hand accounts to share with students about their work-based experiences. </w:t>
      </w:r>
    </w:p>
    <w:p w14:paraId="243A4B97" w14:textId="77777777" w:rsidR="00A30166" w:rsidRPr="00531578" w:rsidRDefault="00D62A41" w:rsidP="00A30166">
      <w:pPr>
        <w:pStyle w:val="NoSpacing"/>
        <w:numPr>
          <w:ilvl w:val="0"/>
          <w:numId w:val="3"/>
        </w:numPr>
        <w:ind w:left="284" w:hanging="284"/>
        <w:rPr>
          <w:rFonts w:asciiTheme="minorHAnsi" w:hAnsiTheme="minorHAnsi"/>
        </w:rPr>
      </w:pPr>
      <w:r>
        <w:rPr>
          <w:rFonts w:asciiTheme="minorHAnsi" w:hAnsiTheme="minorHAnsi"/>
        </w:rPr>
        <w:lastRenderedPageBreak/>
        <w:t>Make arrangements</w:t>
      </w:r>
      <w:r w:rsidR="00A30166" w:rsidRPr="00531578">
        <w:rPr>
          <w:rFonts w:asciiTheme="minorHAnsi" w:hAnsiTheme="minorHAnsi"/>
        </w:rPr>
        <w:t xml:space="preserve"> for students to take advantage of work-based learning experiences.</w:t>
      </w:r>
    </w:p>
    <w:p w14:paraId="6B72AE4E" w14:textId="77777777" w:rsidR="00A30166" w:rsidRPr="00531578" w:rsidRDefault="00A30166" w:rsidP="00A30166">
      <w:pPr>
        <w:pStyle w:val="NoSpacing"/>
        <w:numPr>
          <w:ilvl w:val="0"/>
          <w:numId w:val="3"/>
        </w:numPr>
        <w:ind w:left="284" w:hanging="284"/>
        <w:rPr>
          <w:rFonts w:asciiTheme="minorHAnsi" w:hAnsiTheme="minorHAnsi"/>
        </w:rPr>
      </w:pPr>
      <w:r w:rsidRPr="00531578">
        <w:rPr>
          <w:rFonts w:asciiTheme="minorHAnsi" w:hAnsiTheme="minorHAnsi"/>
        </w:rPr>
        <w:t>Organize a group of community members (including parents) who can help identify and recruit work experience sites in the community.</w:t>
      </w:r>
    </w:p>
    <w:p w14:paraId="2995C6FF" w14:textId="77777777" w:rsidR="00A30166" w:rsidRPr="00531578" w:rsidRDefault="00A30166" w:rsidP="00A30166">
      <w:pPr>
        <w:pStyle w:val="NoSpacing"/>
        <w:numPr>
          <w:ilvl w:val="0"/>
          <w:numId w:val="3"/>
        </w:numPr>
        <w:ind w:left="284" w:hanging="284"/>
        <w:rPr>
          <w:rFonts w:asciiTheme="minorHAnsi" w:hAnsiTheme="minorHAnsi"/>
        </w:rPr>
      </w:pPr>
      <w:r w:rsidRPr="00531578">
        <w:rPr>
          <w:rFonts w:asciiTheme="minorHAnsi" w:hAnsiTheme="minorHAnsi"/>
        </w:rPr>
        <w:t xml:space="preserve">Provide </w:t>
      </w:r>
      <w:r w:rsidR="00D62A41">
        <w:rPr>
          <w:rFonts w:asciiTheme="minorHAnsi" w:hAnsiTheme="minorHAnsi"/>
        </w:rPr>
        <w:t>school staff</w:t>
      </w:r>
      <w:r w:rsidRPr="00531578">
        <w:rPr>
          <w:rFonts w:asciiTheme="minorHAnsi" w:hAnsiTheme="minorHAnsi"/>
        </w:rPr>
        <w:t xml:space="preserve"> to facilitate work-based learning experiences for students. </w:t>
      </w:r>
    </w:p>
    <w:p w14:paraId="71FFE466" w14:textId="77777777" w:rsidR="00A30166" w:rsidRPr="00531578" w:rsidRDefault="00A30166" w:rsidP="00A30166">
      <w:pPr>
        <w:pStyle w:val="NoSpacing"/>
        <w:numPr>
          <w:ilvl w:val="0"/>
          <w:numId w:val="3"/>
        </w:numPr>
        <w:ind w:left="284" w:hanging="284"/>
        <w:rPr>
          <w:rFonts w:asciiTheme="minorHAnsi" w:hAnsiTheme="minorHAnsi"/>
        </w:rPr>
      </w:pPr>
      <w:r w:rsidRPr="00531578">
        <w:rPr>
          <w:rFonts w:asciiTheme="minorHAnsi" w:hAnsiTheme="minorHAnsi"/>
        </w:rPr>
        <w:t>Develop a system for gathering information about student skills, support needs, strengths and experiences from each work experience.</w:t>
      </w:r>
    </w:p>
    <w:p w14:paraId="00EA0D00" w14:textId="77777777" w:rsidR="00A30166" w:rsidRPr="00531578" w:rsidRDefault="00A30166" w:rsidP="00A30166">
      <w:pPr>
        <w:pStyle w:val="NoSpacing"/>
        <w:numPr>
          <w:ilvl w:val="0"/>
          <w:numId w:val="3"/>
        </w:numPr>
        <w:ind w:left="284" w:hanging="284"/>
        <w:rPr>
          <w:rFonts w:asciiTheme="minorHAnsi" w:hAnsiTheme="minorHAnsi"/>
        </w:rPr>
      </w:pPr>
      <w:r w:rsidRPr="00531578">
        <w:rPr>
          <w:rFonts w:asciiTheme="minorHAnsi" w:hAnsiTheme="minorHAnsi"/>
        </w:rPr>
        <w:t xml:space="preserve">Connect students with adult agencies that provide ongoing employment supports after graduation. </w:t>
      </w:r>
    </w:p>
    <w:p w14:paraId="2E017ADD" w14:textId="58A2E8B2" w:rsidR="00A30166" w:rsidRPr="00531578" w:rsidRDefault="00A30166" w:rsidP="00A30166">
      <w:pPr>
        <w:pStyle w:val="NoSpacing"/>
        <w:numPr>
          <w:ilvl w:val="0"/>
          <w:numId w:val="3"/>
        </w:numPr>
        <w:ind w:left="284" w:hanging="284"/>
        <w:rPr>
          <w:rFonts w:asciiTheme="minorHAnsi" w:hAnsiTheme="minorHAnsi"/>
        </w:rPr>
      </w:pPr>
      <w:r w:rsidRPr="00531578">
        <w:rPr>
          <w:rFonts w:asciiTheme="minorHAnsi" w:hAnsiTheme="minorHAnsi"/>
        </w:rPr>
        <w:t>Consider adult agencies and the school co-supporting youth in work experiences before graduation.</w:t>
      </w:r>
    </w:p>
    <w:p w14:paraId="09D33D2B" w14:textId="77777777" w:rsidR="00A30166" w:rsidRPr="00531578" w:rsidRDefault="00A30166" w:rsidP="00B7408A">
      <w:pPr>
        <w:pStyle w:val="NoSpacing"/>
        <w:numPr>
          <w:ilvl w:val="0"/>
          <w:numId w:val="3"/>
        </w:numPr>
        <w:ind w:left="284" w:hanging="284"/>
        <w:rPr>
          <w:rFonts w:asciiTheme="minorHAnsi" w:hAnsiTheme="minorHAnsi"/>
        </w:rPr>
      </w:pPr>
      <w:r w:rsidRPr="00531578">
        <w:rPr>
          <w:rFonts w:asciiTheme="minorHAnsi" w:hAnsiTheme="minorHAnsi"/>
        </w:rPr>
        <w:t>Learn about what is happening with economic development in the local community.</w:t>
      </w:r>
    </w:p>
    <w:p w14:paraId="07DE412D" w14:textId="77777777" w:rsidR="00A30166" w:rsidRPr="00531578" w:rsidRDefault="00A30166" w:rsidP="00A30166">
      <w:pPr>
        <w:pStyle w:val="NoSpacing"/>
        <w:numPr>
          <w:ilvl w:val="0"/>
          <w:numId w:val="3"/>
        </w:numPr>
        <w:ind w:left="284" w:hanging="284"/>
        <w:rPr>
          <w:rFonts w:asciiTheme="minorHAnsi" w:hAnsiTheme="minorHAnsi"/>
        </w:rPr>
      </w:pPr>
      <w:r w:rsidRPr="00531578">
        <w:rPr>
          <w:rFonts w:asciiTheme="minorHAnsi" w:hAnsiTheme="minorHAnsi"/>
        </w:rPr>
        <w:t>Partner with One-Stop Centers and Job Service offices on work-based learning opportunities.</w:t>
      </w:r>
    </w:p>
    <w:p w14:paraId="74770D0F" w14:textId="77777777" w:rsidR="00A30166" w:rsidRPr="00531578" w:rsidRDefault="00A30166" w:rsidP="00A30166">
      <w:pPr>
        <w:pStyle w:val="NoSpacing"/>
        <w:numPr>
          <w:ilvl w:val="0"/>
          <w:numId w:val="3"/>
        </w:numPr>
        <w:ind w:left="284" w:hanging="284"/>
        <w:rPr>
          <w:rFonts w:asciiTheme="minorHAnsi" w:hAnsiTheme="minorHAnsi"/>
        </w:rPr>
      </w:pPr>
      <w:r w:rsidRPr="00531578">
        <w:rPr>
          <w:rFonts w:asciiTheme="minorHAnsi" w:hAnsiTheme="minorHAnsi"/>
        </w:rPr>
        <w:t>Enroll students in Jobs for Montana’s Graduates.</w:t>
      </w:r>
    </w:p>
    <w:p w14:paraId="163CF95E" w14:textId="77777777" w:rsidR="00A30166" w:rsidRPr="00531578" w:rsidRDefault="00A30166" w:rsidP="00A30166">
      <w:pPr>
        <w:pStyle w:val="NoSpacing"/>
        <w:numPr>
          <w:ilvl w:val="0"/>
          <w:numId w:val="3"/>
        </w:numPr>
        <w:ind w:left="284" w:hanging="284"/>
        <w:rPr>
          <w:rFonts w:asciiTheme="minorHAnsi" w:hAnsiTheme="minorHAnsi"/>
        </w:rPr>
      </w:pPr>
      <w:r w:rsidRPr="00531578">
        <w:rPr>
          <w:rFonts w:asciiTheme="minorHAnsi" w:hAnsiTheme="minorHAnsi"/>
        </w:rPr>
        <w:t>Help students access summer Youth Employment Programs through Workforce/HRDCs.</w:t>
      </w:r>
    </w:p>
    <w:p w14:paraId="3C373F39" w14:textId="77777777" w:rsidR="00A30166" w:rsidRPr="00531578" w:rsidRDefault="00A30166" w:rsidP="00A30166">
      <w:pPr>
        <w:pStyle w:val="NoSpacing"/>
        <w:numPr>
          <w:ilvl w:val="0"/>
          <w:numId w:val="3"/>
        </w:numPr>
        <w:ind w:left="284" w:hanging="284"/>
        <w:rPr>
          <w:rFonts w:asciiTheme="minorHAnsi" w:hAnsiTheme="minorHAnsi"/>
        </w:rPr>
      </w:pPr>
      <w:r w:rsidRPr="00531578">
        <w:rPr>
          <w:rFonts w:asciiTheme="minorHAnsi" w:hAnsiTheme="minorHAnsi"/>
        </w:rPr>
        <w:t>Connect with other local agencies, organizations and service clubs committed to preparing workforce members, such as Chambers of Commerce, Rotary, Lions Clubs, etc.</w:t>
      </w:r>
    </w:p>
    <w:p w14:paraId="63B0940D" w14:textId="77777777" w:rsidR="00DC7DB3" w:rsidRPr="00DC7DB3" w:rsidRDefault="00A30166" w:rsidP="00DC7DB3">
      <w:pPr>
        <w:pStyle w:val="NoSpacing"/>
        <w:numPr>
          <w:ilvl w:val="0"/>
          <w:numId w:val="3"/>
        </w:numPr>
        <w:autoSpaceDE w:val="0"/>
        <w:autoSpaceDN w:val="0"/>
        <w:adjustRightInd w:val="0"/>
        <w:ind w:left="270" w:hanging="270"/>
        <w:rPr>
          <w:rFonts w:ascii="Calibri" w:hAnsi="Calibri" w:cs="Courier New"/>
          <w:color w:val="000000"/>
          <w:szCs w:val="24"/>
        </w:rPr>
      </w:pPr>
      <w:r w:rsidRPr="00DC7DB3">
        <w:rPr>
          <w:rFonts w:asciiTheme="minorHAnsi" w:hAnsiTheme="minorHAnsi"/>
        </w:rPr>
        <w:t xml:space="preserve">Explore corporate internship opportunities.  </w:t>
      </w:r>
    </w:p>
    <w:p w14:paraId="320427A0" w14:textId="082CB50E" w:rsidR="00A30166" w:rsidRPr="00DC7DB3" w:rsidRDefault="00B7408A" w:rsidP="00DC7DB3">
      <w:pPr>
        <w:pStyle w:val="NoSpacing"/>
        <w:numPr>
          <w:ilvl w:val="0"/>
          <w:numId w:val="3"/>
        </w:numPr>
        <w:autoSpaceDE w:val="0"/>
        <w:autoSpaceDN w:val="0"/>
        <w:adjustRightInd w:val="0"/>
        <w:ind w:left="270" w:hanging="270"/>
        <w:rPr>
          <w:rFonts w:ascii="Calibri" w:hAnsi="Calibri" w:cs="Courier New"/>
          <w:color w:val="000000"/>
          <w:szCs w:val="24"/>
        </w:rPr>
      </w:pPr>
      <w:r w:rsidRPr="00DC7DB3">
        <w:rPr>
          <w:rFonts w:asciiTheme="minorHAnsi" w:hAnsiTheme="minorHAnsi" w:cs="Times New Roman"/>
          <w:color w:val="333333"/>
          <w:szCs w:val="24"/>
          <w:shd w:val="clear" w:color="auto" w:fill="FFFFFF"/>
        </w:rPr>
        <w:t xml:space="preserve">Implement the </w:t>
      </w:r>
      <w:r w:rsidR="00A30166" w:rsidRPr="00DC7DB3">
        <w:rPr>
          <w:rFonts w:asciiTheme="minorHAnsi" w:hAnsiTheme="minorHAnsi" w:cs="Times New Roman"/>
          <w:color w:val="333333"/>
          <w:szCs w:val="24"/>
          <w:shd w:val="clear" w:color="auto" w:fill="FFFFFF"/>
        </w:rPr>
        <w:t xml:space="preserve">EnvisionIT (EIT) </w:t>
      </w:r>
      <w:r w:rsidRPr="00DC7DB3">
        <w:rPr>
          <w:rFonts w:asciiTheme="minorHAnsi" w:hAnsiTheme="minorHAnsi" w:cs="Times New Roman"/>
          <w:color w:val="333333"/>
          <w:szCs w:val="24"/>
          <w:shd w:val="clear" w:color="auto" w:fill="FFFFFF"/>
        </w:rPr>
        <w:t xml:space="preserve">curriculum.  EIT </w:t>
      </w:r>
      <w:r w:rsidR="00A30166" w:rsidRPr="00DC7DB3">
        <w:rPr>
          <w:rFonts w:asciiTheme="minorHAnsi" w:hAnsiTheme="minorHAnsi" w:cs="Times New Roman"/>
          <w:color w:val="333333"/>
          <w:szCs w:val="24"/>
          <w:shd w:val="clear" w:color="auto" w:fill="FFFFFF"/>
        </w:rPr>
        <w:t>is 21st century, standards-aligned, online curriculum for grades 8-12 that teaches English</w:t>
      </w:r>
      <w:r w:rsidR="00A30166" w:rsidRPr="00DC7DB3">
        <w:rPr>
          <w:rFonts w:cs="Times New Roman"/>
          <w:color w:val="333333"/>
          <w:szCs w:val="24"/>
          <w:shd w:val="clear" w:color="auto" w:fill="FFFFFF"/>
        </w:rPr>
        <w:t xml:space="preserve"> </w:t>
      </w:r>
      <w:r w:rsidR="00A30166" w:rsidRPr="00DC7DB3">
        <w:rPr>
          <w:rFonts w:asciiTheme="minorHAnsi" w:hAnsiTheme="minorHAnsi" w:cs="Times New Roman"/>
          <w:color w:val="333333"/>
          <w:szCs w:val="24"/>
          <w:shd w:val="clear" w:color="auto" w:fill="FFFFFF"/>
        </w:rPr>
        <w:t>and Languages Arts, Information Technology Literacy, College &amp; Career Readiness, and Financial Literacy.</w:t>
      </w:r>
      <w:r w:rsidRPr="00DC7DB3">
        <w:rPr>
          <w:rFonts w:asciiTheme="minorHAnsi" w:hAnsiTheme="minorHAnsi" w:cs="Times New Roman"/>
          <w:color w:val="333333"/>
          <w:szCs w:val="24"/>
          <w:shd w:val="clear" w:color="auto" w:fill="FFFFFF"/>
        </w:rPr>
        <w:t xml:space="preserve">  The curriculum can be accessed at:</w:t>
      </w:r>
      <w:r w:rsidR="00A30166" w:rsidRPr="00DC7DB3">
        <w:rPr>
          <w:rFonts w:asciiTheme="minorHAnsi" w:hAnsiTheme="minorHAnsi" w:cs="Times New Roman"/>
          <w:color w:val="333333"/>
          <w:szCs w:val="24"/>
          <w:shd w:val="clear" w:color="auto" w:fill="FFFFFF"/>
        </w:rPr>
        <w:t xml:space="preserve"> </w:t>
      </w:r>
      <w:r w:rsidR="00C45802" w:rsidRPr="00DC7DB3">
        <w:rPr>
          <w:rFonts w:asciiTheme="minorHAnsi" w:hAnsiTheme="minorHAnsi" w:cs="Times New Roman"/>
          <w:szCs w:val="24"/>
          <w:u w:val="single"/>
        </w:rPr>
        <w:t>http://nisonger.osu.edu/research/envision-it/</w:t>
      </w:r>
      <w:r w:rsidR="00A30166" w:rsidRPr="00DC7DB3">
        <w:rPr>
          <w:rFonts w:asciiTheme="minorHAnsi" w:hAnsiTheme="minorHAnsi" w:cs="Times New Roman"/>
          <w:szCs w:val="24"/>
        </w:rPr>
        <w:t>.</w:t>
      </w:r>
    </w:p>
    <w:p w14:paraId="4858A283" w14:textId="1C9CB68B" w:rsidR="00CA43C3" w:rsidRPr="00CA43C3" w:rsidRDefault="00CA43C3" w:rsidP="00DC7DB3">
      <w:pPr>
        <w:rPr>
          <w:rFonts w:ascii="Calibri" w:hAnsi="Calibri" w:cs="Courier New"/>
          <w:color w:val="000000"/>
          <w:sz w:val="24"/>
          <w:szCs w:val="24"/>
        </w:rPr>
      </w:pPr>
    </w:p>
    <w:p w14:paraId="0B5F4B04" w14:textId="77777777" w:rsidR="00B2795C" w:rsidRDefault="00B2795C" w:rsidP="00961660">
      <w:pPr>
        <w:autoSpaceDE w:val="0"/>
        <w:autoSpaceDN w:val="0"/>
        <w:adjustRightInd w:val="0"/>
        <w:spacing w:after="0" w:line="240" w:lineRule="auto"/>
        <w:rPr>
          <w:rFonts w:ascii="Calibri" w:hAnsi="Calibri" w:cs="Courier New"/>
          <w:color w:val="000000"/>
          <w:sz w:val="24"/>
          <w:szCs w:val="24"/>
        </w:rPr>
      </w:pPr>
    </w:p>
    <w:p w14:paraId="61CDA09B" w14:textId="77777777" w:rsidR="00B2795C" w:rsidRPr="007677B0" w:rsidRDefault="00CC72F7" w:rsidP="00961660">
      <w:pPr>
        <w:autoSpaceDE w:val="0"/>
        <w:autoSpaceDN w:val="0"/>
        <w:adjustRightInd w:val="0"/>
        <w:spacing w:after="0" w:line="240" w:lineRule="auto"/>
        <w:rPr>
          <w:rFonts w:ascii="Calibri" w:hAnsi="Calibri" w:cs="Courier New"/>
          <w:color w:val="000000"/>
          <w:sz w:val="24"/>
          <w:szCs w:val="24"/>
        </w:rPr>
      </w:pPr>
      <w:r>
        <w:rPr>
          <w:rFonts w:ascii="Calibri" w:hAnsi="Calibri" w:cs="Courier New"/>
          <w:noProof/>
          <w:color w:val="000000"/>
          <w:sz w:val="24"/>
          <w:szCs w:val="24"/>
        </w:rPr>
        <w:drawing>
          <wp:anchor distT="0" distB="0" distL="114300" distR="114300" simplePos="0" relativeHeight="251689984" behindDoc="1" locked="0" layoutInCell="1" allowOverlap="1" wp14:anchorId="3867F88A" wp14:editId="07B6A752">
            <wp:simplePos x="0" y="0"/>
            <wp:positionH relativeFrom="column">
              <wp:posOffset>-428625</wp:posOffset>
            </wp:positionH>
            <wp:positionV relativeFrom="paragraph">
              <wp:posOffset>198755</wp:posOffset>
            </wp:positionV>
            <wp:extent cx="264160" cy="264160"/>
            <wp:effectExtent l="0" t="0" r="2540" b="2540"/>
            <wp:wrapTight wrapText="bothSides">
              <wp:wrapPolygon edited="0">
                <wp:start x="6231" y="0"/>
                <wp:lineTo x="0" y="7788"/>
                <wp:lineTo x="0" y="18692"/>
                <wp:lineTo x="6231" y="20250"/>
                <wp:lineTo x="15577" y="20250"/>
                <wp:lineTo x="20250" y="12462"/>
                <wp:lineTo x="20250" y="0"/>
                <wp:lineTo x="15577" y="0"/>
                <wp:lineTo x="6231" y="0"/>
              </wp:wrapPolygon>
            </wp:wrapTight>
            <wp:docPr id="30" name="Picture 30" titl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rinted-Matter-Book-ico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14:sizeRelH relativeFrom="page">
              <wp14:pctWidth>0</wp14:pctWidth>
            </wp14:sizeRelH>
            <wp14:sizeRelV relativeFrom="page">
              <wp14:pctHeight>0</wp14:pctHeight>
            </wp14:sizeRelV>
          </wp:anchor>
        </w:drawing>
      </w:r>
    </w:p>
    <w:p w14:paraId="28975771" w14:textId="77777777" w:rsidR="00961660" w:rsidRPr="007677B0" w:rsidRDefault="00DA2527" w:rsidP="00961660">
      <w:pPr>
        <w:autoSpaceDE w:val="0"/>
        <w:autoSpaceDN w:val="0"/>
        <w:adjustRightInd w:val="0"/>
        <w:spacing w:after="0" w:line="240" w:lineRule="auto"/>
        <w:rPr>
          <w:rFonts w:ascii="Calibri" w:hAnsi="Calibri" w:cs="Courier New"/>
          <w:color w:val="000000"/>
          <w:sz w:val="24"/>
          <w:szCs w:val="24"/>
        </w:rPr>
      </w:pPr>
      <w:r>
        <w:rPr>
          <w:rFonts w:ascii="Calibri" w:hAnsi="Calibri"/>
          <w:noProof/>
          <w:sz w:val="24"/>
          <w:szCs w:val="24"/>
        </w:rPr>
        <mc:AlternateContent>
          <mc:Choice Requires="wps">
            <w:drawing>
              <wp:inline distT="0" distB="0" distL="0" distR="0" wp14:anchorId="053D9875" wp14:editId="270E85AA">
                <wp:extent cx="6057900" cy="285750"/>
                <wp:effectExtent l="0" t="0" r="19050" b="19050"/>
                <wp:docPr id="10" name="Rectangle 10"/>
                <wp:cNvGraphicFramePr/>
                <a:graphic xmlns:a="http://schemas.openxmlformats.org/drawingml/2006/main">
                  <a:graphicData uri="http://schemas.microsoft.com/office/word/2010/wordprocessingShape">
                    <wps:wsp>
                      <wps:cNvSpPr/>
                      <wps:spPr>
                        <a:xfrm>
                          <a:off x="0" y="0"/>
                          <a:ext cx="6057900" cy="285750"/>
                        </a:xfrm>
                        <a:prstGeom prst="rect">
                          <a:avLst/>
                        </a:prstGeom>
                        <a:solidFill>
                          <a:srgbClr val="7030A0"/>
                        </a:solidFill>
                        <a:ln w="12700" cap="flat" cmpd="sng" algn="ctr">
                          <a:solidFill>
                            <a:srgbClr val="5B9BD5">
                              <a:shade val="50000"/>
                            </a:srgbClr>
                          </a:solidFill>
                          <a:prstDash val="solid"/>
                          <a:miter lim="800000"/>
                        </a:ln>
                        <a:effectLst/>
                      </wps:spPr>
                      <wps:txbx>
                        <w:txbxContent>
                          <w:p w14:paraId="1EE58AA2" w14:textId="77777777" w:rsidR="00EC295C" w:rsidRPr="00E554F2" w:rsidRDefault="00EC295C" w:rsidP="00EC295C">
                            <w:pPr>
                              <w:rPr>
                                <w:rFonts w:ascii="Calibri" w:hAnsi="Calibri"/>
                                <w:b/>
                                <w:color w:val="FFFFFF" w:themeColor="background1"/>
                                <w:sz w:val="28"/>
                                <w:szCs w:val="28"/>
                              </w:rPr>
                            </w:pPr>
                            <w:r>
                              <w:rPr>
                                <w:rFonts w:ascii="Calibri" w:hAnsi="Calibri"/>
                                <w:b/>
                                <w:color w:val="FFFFFF" w:themeColor="background1"/>
                                <w:sz w:val="28"/>
                                <w:szCs w:val="28"/>
                              </w:rPr>
                              <w:t xml:space="preserve">    3.  </w:t>
                            </w:r>
                            <w:r w:rsidRPr="00E554F2">
                              <w:rPr>
                                <w:rFonts w:ascii="Calibri" w:hAnsi="Calibri"/>
                                <w:b/>
                                <w:color w:val="FFFFFF" w:themeColor="background1"/>
                                <w:sz w:val="28"/>
                                <w:szCs w:val="28"/>
                              </w:rPr>
                              <w:t>Counseling on Opportunities for Enrollment in Post-Secondary Education</w:t>
                            </w:r>
                          </w:p>
                          <w:p w14:paraId="67041907" w14:textId="77777777" w:rsidR="00EC295C" w:rsidRDefault="00EC295C" w:rsidP="00EC2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1383A113" id="Rectangle 10" o:spid="_x0000_s1029" style="width:477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" fillcolor="#7030a0" strokecolor="#41719c" strokeweight="1pt">
                <v:textbox>
                  <w:txbxContent>
                    <w:p w:rsidR="00EC295C" w:rsidRPr="00E554F2" w:rsidRDefault="00EC295C" w:rsidP="00EC295C">
                      <w:pPr>
                        <w:rPr>
                          <w:rFonts w:ascii="Calibri" w:hAnsi="Calibri"/>
                          <w:b/>
                          <w:color w:val="FFFFFF" w:themeColor="background1"/>
                          <w:sz w:val="28"/>
                          <w:szCs w:val="28"/>
                        </w:rPr>
                      </w:pPr>
                      <w:r>
                        <w:rPr>
                          <w:rFonts w:ascii="Calibri" w:hAnsi="Calibri"/>
                          <w:b/>
                          <w:color w:val="FFFFFF" w:themeColor="background1"/>
                          <w:sz w:val="28"/>
                          <w:szCs w:val="28"/>
                        </w:rPr>
                        <w:t xml:space="preserve">    3.  </w:t>
                      </w:r>
                      <w:r w:rsidRPr="00E554F2">
                        <w:rPr>
                          <w:rFonts w:ascii="Calibri" w:hAnsi="Calibri"/>
                          <w:b/>
                          <w:color w:val="FFFFFF" w:themeColor="background1"/>
                          <w:sz w:val="28"/>
                          <w:szCs w:val="28"/>
                        </w:rPr>
                        <w:t>Counseling on Opportunities for Enrollment in Post-Secondary Education</w:t>
                      </w:r>
                    </w:p>
                    <w:p w:rsidR="00EC295C" w:rsidRDefault="00EC295C" w:rsidP="00EC295C">
                      <w:pPr>
                        <w:jc w:val="center"/>
                      </w:pPr>
                    </w:p>
                  </w:txbxContent>
                </v:textbox>
                <w10:anchorlock/>
              </v:rect>
            </w:pict>
          </mc:Fallback>
        </mc:AlternateContent>
      </w:r>
    </w:p>
    <w:p w14:paraId="51024A90" w14:textId="77777777" w:rsidR="00961660" w:rsidRDefault="00961660" w:rsidP="00961660">
      <w:pPr>
        <w:autoSpaceDE w:val="0"/>
        <w:autoSpaceDN w:val="0"/>
        <w:adjustRightInd w:val="0"/>
        <w:spacing w:after="0" w:line="240" w:lineRule="auto"/>
        <w:rPr>
          <w:rFonts w:ascii="Calibri" w:hAnsi="Calibri" w:cs="Courier New"/>
          <w:color w:val="000000"/>
          <w:sz w:val="24"/>
          <w:szCs w:val="24"/>
        </w:rPr>
      </w:pPr>
      <w:r w:rsidRPr="007677B0">
        <w:rPr>
          <w:rFonts w:ascii="Calibri" w:hAnsi="Calibri" w:cs="Courier New"/>
          <w:color w:val="000000"/>
          <w:sz w:val="24"/>
          <w:szCs w:val="24"/>
        </w:rPr>
        <w:t>in a group setting may include information on course offerings, career options, the types of academic and occupational training needed to succeed in the workplace, and post</w:t>
      </w:r>
      <w:r w:rsidR="00D62A41">
        <w:rPr>
          <w:rFonts w:ascii="Calibri" w:hAnsi="Calibri" w:cs="Courier New"/>
          <w:color w:val="000000"/>
          <w:sz w:val="24"/>
          <w:szCs w:val="24"/>
        </w:rPr>
        <w:t>-</w:t>
      </w:r>
      <w:r w:rsidRPr="007677B0">
        <w:rPr>
          <w:rFonts w:ascii="Calibri" w:hAnsi="Calibri" w:cs="Courier New"/>
          <w:color w:val="000000"/>
          <w:sz w:val="24"/>
          <w:szCs w:val="24"/>
        </w:rPr>
        <w:t xml:space="preserve">secondary opportunities associated with career fields or pathways. </w:t>
      </w:r>
      <w:r w:rsidR="003035E8">
        <w:rPr>
          <w:rFonts w:ascii="Calibri" w:hAnsi="Calibri" w:cs="Courier New"/>
          <w:color w:val="000000"/>
          <w:sz w:val="24"/>
          <w:szCs w:val="24"/>
        </w:rPr>
        <w:t xml:space="preserve"> </w:t>
      </w:r>
      <w:r w:rsidRPr="007677B0">
        <w:rPr>
          <w:rFonts w:ascii="Calibri" w:hAnsi="Calibri" w:cs="Courier New"/>
          <w:color w:val="000000"/>
          <w:sz w:val="24"/>
          <w:szCs w:val="24"/>
        </w:rPr>
        <w:t>This information may also be provided on an individual basis and may include advising students and parents or representatives on academic curricula, college application and admissions processes, completing the Free Application for Federal Student Aid (FAFSA), and resources that may be used to support individual student success in education and training, which could include disability support services.</w:t>
      </w:r>
    </w:p>
    <w:p w14:paraId="5FF35F36" w14:textId="77777777" w:rsidR="0039218A" w:rsidRDefault="001B579B" w:rsidP="00961660">
      <w:pPr>
        <w:autoSpaceDE w:val="0"/>
        <w:autoSpaceDN w:val="0"/>
        <w:adjustRightInd w:val="0"/>
        <w:spacing w:after="0" w:line="240" w:lineRule="auto"/>
        <w:rPr>
          <w:rFonts w:ascii="Calibri" w:hAnsi="Calibri" w:cs="Courier New"/>
          <w:color w:val="000000"/>
          <w:sz w:val="24"/>
          <w:szCs w:val="24"/>
        </w:rPr>
      </w:pPr>
      <w:r>
        <w:rPr>
          <w:b/>
          <w:noProof/>
          <w:sz w:val="28"/>
          <w:szCs w:val="28"/>
        </w:rPr>
        <w:drawing>
          <wp:anchor distT="0" distB="0" distL="114300" distR="114300" simplePos="0" relativeHeight="251708416" behindDoc="1" locked="0" layoutInCell="1" allowOverlap="1" wp14:anchorId="732A9755" wp14:editId="43FC8A25">
            <wp:simplePos x="0" y="0"/>
            <wp:positionH relativeFrom="column">
              <wp:posOffset>-476250</wp:posOffset>
            </wp:positionH>
            <wp:positionV relativeFrom="paragraph">
              <wp:posOffset>194945</wp:posOffset>
            </wp:positionV>
            <wp:extent cx="342900" cy="342900"/>
            <wp:effectExtent l="0" t="0" r="0" b="0"/>
            <wp:wrapTight wrapText="bothSides">
              <wp:wrapPolygon edited="0">
                <wp:start x="2400" y="0"/>
                <wp:lineTo x="0" y="2400"/>
                <wp:lineTo x="1200" y="7200"/>
                <wp:lineTo x="6000" y="19200"/>
                <wp:lineTo x="6000" y="20400"/>
                <wp:lineTo x="14400" y="20400"/>
                <wp:lineTo x="14400" y="19200"/>
                <wp:lineTo x="20400" y="4800"/>
                <wp:lineTo x="20400" y="1200"/>
                <wp:lineTo x="13200" y="0"/>
                <wp:lineTo x="2400" y="0"/>
              </wp:wrapPolygon>
            </wp:wrapTight>
            <wp:docPr id="49" name="Picture 49" title="Light 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dea[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16987FD9" w14:textId="77777777" w:rsidR="0039218A" w:rsidRPr="00531578" w:rsidRDefault="0039218A" w:rsidP="0039218A">
      <w:pPr>
        <w:pStyle w:val="NoSpacing"/>
        <w:numPr>
          <w:ilvl w:val="0"/>
          <w:numId w:val="4"/>
        </w:numPr>
        <w:ind w:left="284" w:hanging="284"/>
        <w:rPr>
          <w:rFonts w:asciiTheme="minorHAnsi" w:hAnsiTheme="minorHAnsi"/>
        </w:rPr>
      </w:pPr>
      <w:r w:rsidRPr="00531578">
        <w:rPr>
          <w:rFonts w:asciiTheme="minorHAnsi" w:hAnsiTheme="minorHAnsi"/>
        </w:rPr>
        <w:t>Support students in compiling a transition binder with relevant agency/organization contact information (for example, Vocational Rehabilitation and college support services).</w:t>
      </w:r>
    </w:p>
    <w:p w14:paraId="736D6A84" w14:textId="77777777" w:rsidR="0039218A" w:rsidRPr="00531578" w:rsidRDefault="0039218A" w:rsidP="0039218A">
      <w:pPr>
        <w:pStyle w:val="NoSpacing"/>
        <w:numPr>
          <w:ilvl w:val="0"/>
          <w:numId w:val="4"/>
        </w:numPr>
        <w:ind w:left="284" w:hanging="284"/>
        <w:rPr>
          <w:rFonts w:asciiTheme="minorHAnsi" w:hAnsiTheme="minorHAnsi"/>
        </w:rPr>
      </w:pPr>
      <w:r w:rsidRPr="00531578">
        <w:rPr>
          <w:rFonts w:asciiTheme="minorHAnsi" w:hAnsiTheme="minorHAnsi"/>
        </w:rPr>
        <w:t xml:space="preserve">Provide opportunities to participate in “College in a Day” at local college campuses. </w:t>
      </w:r>
    </w:p>
    <w:p w14:paraId="479C3D1E" w14:textId="77777777" w:rsidR="0039218A" w:rsidRPr="00531578" w:rsidRDefault="0039218A" w:rsidP="0039218A">
      <w:pPr>
        <w:pStyle w:val="NoSpacing"/>
        <w:numPr>
          <w:ilvl w:val="0"/>
          <w:numId w:val="4"/>
        </w:numPr>
        <w:ind w:left="284" w:hanging="284"/>
        <w:rPr>
          <w:rFonts w:asciiTheme="minorHAnsi" w:hAnsiTheme="minorHAnsi"/>
        </w:rPr>
      </w:pPr>
      <w:r w:rsidRPr="00531578">
        <w:rPr>
          <w:rFonts w:asciiTheme="minorHAnsi" w:hAnsiTheme="minorHAnsi"/>
        </w:rPr>
        <w:t xml:space="preserve">Support students to participate in the “Movin’ On in Montana” campus experience. </w:t>
      </w:r>
    </w:p>
    <w:p w14:paraId="4FE188C8" w14:textId="77777777" w:rsidR="0039218A" w:rsidRPr="00531578" w:rsidRDefault="0039218A" w:rsidP="0039218A">
      <w:pPr>
        <w:pStyle w:val="NoSpacing"/>
        <w:numPr>
          <w:ilvl w:val="0"/>
          <w:numId w:val="4"/>
        </w:numPr>
        <w:ind w:left="284" w:hanging="284"/>
        <w:rPr>
          <w:rFonts w:asciiTheme="minorHAnsi" w:hAnsiTheme="minorHAnsi"/>
        </w:rPr>
      </w:pPr>
      <w:r w:rsidRPr="00531578">
        <w:rPr>
          <w:rFonts w:asciiTheme="minorHAnsi" w:hAnsiTheme="minorHAnsi"/>
        </w:rPr>
        <w:t xml:space="preserve">Invite recent graduates back to school to talk about their experiences transitioning to college and the differences between high school and college. </w:t>
      </w:r>
    </w:p>
    <w:p w14:paraId="1A49352E" w14:textId="77777777" w:rsidR="0039218A" w:rsidRPr="00531578" w:rsidRDefault="0039218A" w:rsidP="0039218A">
      <w:pPr>
        <w:pStyle w:val="NoSpacing"/>
        <w:numPr>
          <w:ilvl w:val="0"/>
          <w:numId w:val="4"/>
        </w:numPr>
        <w:ind w:left="284" w:hanging="284"/>
        <w:rPr>
          <w:rFonts w:asciiTheme="minorHAnsi" w:hAnsiTheme="minorHAnsi"/>
        </w:rPr>
      </w:pPr>
      <w:r w:rsidRPr="00531578">
        <w:rPr>
          <w:rFonts w:asciiTheme="minorHAnsi" w:hAnsiTheme="minorHAnsi"/>
        </w:rPr>
        <w:t xml:space="preserve">Collect examples of college application paperwork and discuss needed requirements with students. </w:t>
      </w:r>
    </w:p>
    <w:p w14:paraId="0589D4FF" w14:textId="77777777" w:rsidR="0039218A" w:rsidRPr="00531578" w:rsidRDefault="0039218A" w:rsidP="0039218A">
      <w:pPr>
        <w:pStyle w:val="NoSpacing"/>
        <w:numPr>
          <w:ilvl w:val="0"/>
          <w:numId w:val="4"/>
        </w:numPr>
        <w:ind w:left="284" w:hanging="284"/>
        <w:rPr>
          <w:rFonts w:asciiTheme="minorHAnsi" w:hAnsiTheme="minorHAnsi"/>
        </w:rPr>
      </w:pPr>
      <w:r w:rsidRPr="00531578">
        <w:rPr>
          <w:rFonts w:asciiTheme="minorHAnsi" w:hAnsiTheme="minorHAnsi"/>
        </w:rPr>
        <w:lastRenderedPageBreak/>
        <w:t>Learn about accommodations for college entrance testing and SAT and ACT test preparation.</w:t>
      </w:r>
    </w:p>
    <w:p w14:paraId="13BCDF5B" w14:textId="77777777" w:rsidR="0039218A" w:rsidRPr="00531578" w:rsidRDefault="0039218A" w:rsidP="0039218A">
      <w:pPr>
        <w:pStyle w:val="NoSpacing"/>
        <w:numPr>
          <w:ilvl w:val="0"/>
          <w:numId w:val="4"/>
        </w:numPr>
        <w:ind w:left="284" w:hanging="284"/>
        <w:rPr>
          <w:rFonts w:asciiTheme="minorHAnsi" w:hAnsiTheme="minorHAnsi"/>
        </w:rPr>
      </w:pPr>
      <w:r w:rsidRPr="00531578">
        <w:rPr>
          <w:rFonts w:asciiTheme="minorHAnsi" w:hAnsiTheme="minorHAnsi"/>
        </w:rPr>
        <w:t>Collaborate with the school counselor to provide opportunities to discuss post-secondary education options and visit local post-secondary education campuses.</w:t>
      </w:r>
    </w:p>
    <w:p w14:paraId="4FD159AF" w14:textId="77777777" w:rsidR="0039218A" w:rsidRPr="00531578" w:rsidRDefault="0039218A" w:rsidP="0039218A">
      <w:pPr>
        <w:pStyle w:val="NoSpacing"/>
        <w:numPr>
          <w:ilvl w:val="0"/>
          <w:numId w:val="4"/>
        </w:numPr>
        <w:ind w:left="284" w:hanging="284"/>
        <w:rPr>
          <w:rFonts w:asciiTheme="minorHAnsi" w:hAnsiTheme="minorHAnsi"/>
        </w:rPr>
      </w:pPr>
      <w:r w:rsidRPr="00531578">
        <w:rPr>
          <w:rFonts w:asciiTheme="minorHAnsi" w:hAnsiTheme="minorHAnsi"/>
        </w:rPr>
        <w:t xml:space="preserve">Invite the local Vocational Rehabilitation and Blind Services (VRBS) counselor to present information to students about the VRBS program.  </w:t>
      </w:r>
    </w:p>
    <w:p w14:paraId="2D6A6E2F" w14:textId="77777777" w:rsidR="0039218A" w:rsidRPr="00531578" w:rsidRDefault="0039218A" w:rsidP="0039218A">
      <w:pPr>
        <w:pStyle w:val="NoSpacing"/>
        <w:numPr>
          <w:ilvl w:val="0"/>
          <w:numId w:val="4"/>
        </w:numPr>
        <w:ind w:left="284" w:hanging="284"/>
        <w:rPr>
          <w:rFonts w:asciiTheme="minorHAnsi" w:hAnsiTheme="minorHAnsi"/>
        </w:rPr>
      </w:pPr>
      <w:r w:rsidRPr="00531578">
        <w:rPr>
          <w:rFonts w:asciiTheme="minorHAnsi" w:hAnsiTheme="minorHAnsi"/>
        </w:rPr>
        <w:t xml:space="preserve">Offer a “Trades Rodeo” for students to learn more about practical trades, including opportunities for apprenticeships and ways of learning on the job in a trade or industry. </w:t>
      </w:r>
    </w:p>
    <w:p w14:paraId="6711D238" w14:textId="77777777" w:rsidR="0039218A" w:rsidRPr="00531578" w:rsidRDefault="0039218A" w:rsidP="0039218A">
      <w:pPr>
        <w:pStyle w:val="NoSpacing"/>
        <w:numPr>
          <w:ilvl w:val="0"/>
          <w:numId w:val="4"/>
        </w:numPr>
        <w:ind w:left="284" w:hanging="284"/>
        <w:rPr>
          <w:rFonts w:asciiTheme="minorHAnsi" w:hAnsiTheme="minorHAnsi"/>
        </w:rPr>
      </w:pPr>
      <w:r w:rsidRPr="00531578">
        <w:rPr>
          <w:rFonts w:asciiTheme="minorHAnsi" w:hAnsiTheme="minorHAnsi"/>
        </w:rPr>
        <w:t>Collaborate with math teachers and/or college staff to offer specific lessons on financial planning and budgeting for college and how to research financial aid opportunities such as Pell grants, ABLE (</w:t>
      </w:r>
      <w:r w:rsidRPr="00531578">
        <w:rPr>
          <w:rFonts w:asciiTheme="minorHAnsi" w:hAnsiTheme="minorHAnsi"/>
          <w:lang w:val="en-CA"/>
        </w:rPr>
        <w:t xml:space="preserve">Achieving a Better Life Experience) </w:t>
      </w:r>
      <w:r w:rsidRPr="00531578">
        <w:rPr>
          <w:rFonts w:asciiTheme="minorHAnsi" w:hAnsiTheme="minorHAnsi"/>
        </w:rPr>
        <w:t xml:space="preserve">accounts, and PASS (Plan to Achieve Self-Support) plans. </w:t>
      </w:r>
    </w:p>
    <w:p w14:paraId="31BAA3AF" w14:textId="77777777" w:rsidR="0039218A" w:rsidRPr="00531578" w:rsidRDefault="0039218A" w:rsidP="0039218A">
      <w:pPr>
        <w:pStyle w:val="NoSpacing"/>
        <w:numPr>
          <w:ilvl w:val="0"/>
          <w:numId w:val="4"/>
        </w:numPr>
        <w:ind w:left="284" w:hanging="284"/>
        <w:rPr>
          <w:rFonts w:asciiTheme="minorHAnsi" w:hAnsiTheme="minorHAnsi"/>
        </w:rPr>
      </w:pPr>
      <w:r w:rsidRPr="00531578">
        <w:rPr>
          <w:rFonts w:asciiTheme="minorHAnsi" w:hAnsiTheme="minorHAnsi"/>
        </w:rPr>
        <w:t xml:space="preserve">Educate students on the differences between special education services in high school and disabled student services on campus. </w:t>
      </w:r>
    </w:p>
    <w:p w14:paraId="60263548" w14:textId="77777777" w:rsidR="0039218A" w:rsidRPr="00531578" w:rsidRDefault="0039218A" w:rsidP="0039218A">
      <w:pPr>
        <w:pStyle w:val="NoSpacing"/>
        <w:numPr>
          <w:ilvl w:val="0"/>
          <w:numId w:val="4"/>
        </w:numPr>
        <w:ind w:left="284" w:hanging="284"/>
        <w:rPr>
          <w:rFonts w:asciiTheme="minorHAnsi" w:hAnsiTheme="minorHAnsi"/>
        </w:rPr>
      </w:pPr>
      <w:r w:rsidRPr="00531578">
        <w:rPr>
          <w:rFonts w:asciiTheme="minorHAnsi" w:hAnsiTheme="minorHAnsi"/>
        </w:rPr>
        <w:t>Help students learn about various supports and assistive technology used by students with disabilities at college, such as where and how to get alternative formats of textbooks.</w:t>
      </w:r>
    </w:p>
    <w:p w14:paraId="34D6FAA7" w14:textId="77777777" w:rsidR="0039218A" w:rsidRPr="00531578" w:rsidRDefault="0039218A" w:rsidP="0039218A">
      <w:pPr>
        <w:pStyle w:val="NoSpacing"/>
        <w:numPr>
          <w:ilvl w:val="0"/>
          <w:numId w:val="4"/>
        </w:numPr>
        <w:ind w:left="284" w:hanging="284"/>
        <w:rPr>
          <w:rFonts w:asciiTheme="minorHAnsi" w:hAnsiTheme="minorHAnsi"/>
        </w:rPr>
      </w:pPr>
      <w:r w:rsidRPr="00531578">
        <w:rPr>
          <w:rFonts w:asciiTheme="minorHAnsi" w:hAnsiTheme="minorHAnsi"/>
        </w:rPr>
        <w:t>Provide students w</w:t>
      </w:r>
      <w:r w:rsidR="0020722C">
        <w:rPr>
          <w:rFonts w:asciiTheme="minorHAnsi" w:hAnsiTheme="minorHAnsi"/>
        </w:rPr>
        <w:t>ith resources to learn about TRI</w:t>
      </w:r>
      <w:r w:rsidRPr="00531578">
        <w:rPr>
          <w:rFonts w:asciiTheme="minorHAnsi" w:hAnsiTheme="minorHAnsi"/>
        </w:rPr>
        <w:t>O Student Support Services, TRIO-Upward Bound, and Disability Services for Students.</w:t>
      </w:r>
    </w:p>
    <w:p w14:paraId="365A96EF" w14:textId="77777777" w:rsidR="0039218A" w:rsidRPr="00531578" w:rsidRDefault="0039218A" w:rsidP="0039218A">
      <w:pPr>
        <w:pStyle w:val="NoSpacing"/>
        <w:numPr>
          <w:ilvl w:val="0"/>
          <w:numId w:val="4"/>
        </w:numPr>
        <w:ind w:left="284" w:hanging="284"/>
        <w:rPr>
          <w:rFonts w:asciiTheme="minorHAnsi" w:hAnsiTheme="minorHAnsi"/>
        </w:rPr>
      </w:pPr>
      <w:r w:rsidRPr="00531578">
        <w:rPr>
          <w:rFonts w:asciiTheme="minorHAnsi" w:hAnsiTheme="minorHAnsi"/>
        </w:rPr>
        <w:t>Explore statewide Job Corps options.</w:t>
      </w:r>
    </w:p>
    <w:p w14:paraId="4C5D267D" w14:textId="77777777" w:rsidR="0039218A" w:rsidRPr="00531578" w:rsidRDefault="0039218A" w:rsidP="0039218A">
      <w:pPr>
        <w:pStyle w:val="NoSpacing"/>
        <w:numPr>
          <w:ilvl w:val="0"/>
          <w:numId w:val="4"/>
        </w:numPr>
        <w:ind w:left="284" w:hanging="284"/>
        <w:rPr>
          <w:rFonts w:asciiTheme="minorHAnsi" w:hAnsiTheme="minorHAnsi"/>
        </w:rPr>
      </w:pPr>
      <w:r w:rsidRPr="00531578">
        <w:rPr>
          <w:rFonts w:asciiTheme="minorHAnsi" w:hAnsiTheme="minorHAnsi"/>
        </w:rPr>
        <w:t>Plan a visit with students to a local Job Corps campus.</w:t>
      </w:r>
    </w:p>
    <w:p w14:paraId="2C9A772E" w14:textId="77777777" w:rsidR="001B579B" w:rsidRPr="001B579B" w:rsidRDefault="0039218A" w:rsidP="00DB3E46">
      <w:pPr>
        <w:pStyle w:val="NoSpacing"/>
        <w:numPr>
          <w:ilvl w:val="0"/>
          <w:numId w:val="4"/>
        </w:numPr>
        <w:autoSpaceDE w:val="0"/>
        <w:autoSpaceDN w:val="0"/>
        <w:adjustRightInd w:val="0"/>
        <w:ind w:left="284" w:hanging="284"/>
        <w:rPr>
          <w:rFonts w:ascii="Calibri" w:hAnsi="Calibri" w:cs="Courier New"/>
          <w:color w:val="000000"/>
          <w:szCs w:val="24"/>
        </w:rPr>
      </w:pPr>
      <w:r w:rsidRPr="00531578">
        <w:rPr>
          <w:rFonts w:asciiTheme="minorHAnsi" w:hAnsiTheme="minorHAnsi"/>
        </w:rPr>
        <w:t xml:space="preserve">Explore electronic mentoring between high school students and college students with disabilities. </w:t>
      </w:r>
    </w:p>
    <w:p w14:paraId="3CDAFD86" w14:textId="77777777" w:rsidR="0039218A" w:rsidRPr="001B579B" w:rsidRDefault="0039218A" w:rsidP="00DB3E46">
      <w:pPr>
        <w:pStyle w:val="NoSpacing"/>
        <w:numPr>
          <w:ilvl w:val="0"/>
          <w:numId w:val="4"/>
        </w:numPr>
        <w:autoSpaceDE w:val="0"/>
        <w:autoSpaceDN w:val="0"/>
        <w:adjustRightInd w:val="0"/>
        <w:ind w:left="284" w:hanging="284"/>
        <w:rPr>
          <w:rFonts w:ascii="Calibri" w:hAnsi="Calibri" w:cs="Courier New"/>
          <w:color w:val="000000"/>
          <w:szCs w:val="24"/>
        </w:rPr>
      </w:pPr>
      <w:r w:rsidRPr="00531578">
        <w:rPr>
          <w:rFonts w:asciiTheme="minorHAnsi" w:hAnsiTheme="minorHAnsi"/>
        </w:rPr>
        <w:t>Explore dual enrollment options at local colleges for high school and college credit.</w:t>
      </w:r>
    </w:p>
    <w:p w14:paraId="0584BF48" w14:textId="1E8B9C96" w:rsidR="001B579B" w:rsidRPr="001B579B" w:rsidRDefault="001B579B" w:rsidP="00DC7DB3">
      <w:pPr>
        <w:pStyle w:val="NoSpacing"/>
        <w:autoSpaceDE w:val="0"/>
        <w:autoSpaceDN w:val="0"/>
        <w:adjustRightInd w:val="0"/>
        <w:rPr>
          <w:rFonts w:ascii="Calibri" w:hAnsi="Calibri"/>
          <w:szCs w:val="24"/>
        </w:rPr>
      </w:pPr>
    </w:p>
    <w:p w14:paraId="50AAD5D7" w14:textId="77777777" w:rsidR="00CA43C3" w:rsidRPr="007677B0" w:rsidRDefault="00CA43C3" w:rsidP="00961660">
      <w:pPr>
        <w:autoSpaceDE w:val="0"/>
        <w:autoSpaceDN w:val="0"/>
        <w:adjustRightInd w:val="0"/>
        <w:spacing w:after="0" w:line="240" w:lineRule="auto"/>
        <w:rPr>
          <w:rFonts w:ascii="Calibri" w:hAnsi="Calibri" w:cs="Courier New"/>
          <w:color w:val="000000"/>
          <w:sz w:val="24"/>
          <w:szCs w:val="24"/>
        </w:rPr>
      </w:pPr>
    </w:p>
    <w:p w14:paraId="44DA8B25" w14:textId="77777777" w:rsidR="00961660" w:rsidRPr="007677B0" w:rsidRDefault="0020722C" w:rsidP="00961660">
      <w:pPr>
        <w:autoSpaceDE w:val="0"/>
        <w:autoSpaceDN w:val="0"/>
        <w:adjustRightInd w:val="0"/>
        <w:spacing w:after="0" w:line="240" w:lineRule="auto"/>
        <w:rPr>
          <w:rFonts w:ascii="Calibri" w:hAnsi="Calibri" w:cs="Courier New"/>
          <w:color w:val="000000"/>
          <w:sz w:val="24"/>
          <w:szCs w:val="24"/>
        </w:rPr>
      </w:pPr>
      <w:r>
        <w:rPr>
          <w:rFonts w:ascii="Calibri" w:hAnsi="Calibri"/>
          <w:noProof/>
          <w:sz w:val="24"/>
          <w:szCs w:val="24"/>
        </w:rPr>
        <mc:AlternateContent>
          <mc:Choice Requires="wps">
            <w:drawing>
              <wp:anchor distT="0" distB="0" distL="114300" distR="114300" simplePos="0" relativeHeight="251671552" behindDoc="1" locked="0" layoutInCell="1" allowOverlap="1" wp14:anchorId="5F0FC02F" wp14:editId="7A4CC07C">
                <wp:simplePos x="0" y="0"/>
                <wp:positionH relativeFrom="margin">
                  <wp:align>left</wp:align>
                </wp:positionH>
                <wp:positionV relativeFrom="paragraph">
                  <wp:posOffset>187960</wp:posOffset>
                </wp:positionV>
                <wp:extent cx="2857500" cy="304800"/>
                <wp:effectExtent l="0" t="0" r="19050" b="19050"/>
                <wp:wrapTight wrapText="bothSides">
                  <wp:wrapPolygon edited="0">
                    <wp:start x="0" y="0"/>
                    <wp:lineTo x="0" y="21600"/>
                    <wp:lineTo x="21600" y="21600"/>
                    <wp:lineTo x="21600" y="0"/>
                    <wp:lineTo x="0" y="0"/>
                  </wp:wrapPolygon>
                </wp:wrapTight>
                <wp:docPr id="11" name="Rectangle 11"/>
                <wp:cNvGraphicFramePr/>
                <a:graphic xmlns:a="http://schemas.openxmlformats.org/drawingml/2006/main">
                  <a:graphicData uri="http://schemas.microsoft.com/office/word/2010/wordprocessingShape">
                    <wps:wsp>
                      <wps:cNvSpPr/>
                      <wps:spPr>
                        <a:xfrm>
                          <a:off x="0" y="0"/>
                          <a:ext cx="2857500" cy="304800"/>
                        </a:xfrm>
                        <a:prstGeom prst="rect">
                          <a:avLst/>
                        </a:prstGeom>
                        <a:solidFill>
                          <a:srgbClr val="92D050"/>
                        </a:solidFill>
                        <a:ln w="12700" cap="flat" cmpd="sng" algn="ctr">
                          <a:solidFill>
                            <a:srgbClr val="5B9BD5">
                              <a:shade val="50000"/>
                            </a:srgbClr>
                          </a:solidFill>
                          <a:prstDash val="solid"/>
                          <a:miter lim="800000"/>
                        </a:ln>
                        <a:effectLst/>
                      </wps:spPr>
                      <wps:txbx>
                        <w:txbxContent>
                          <w:p w14:paraId="138A9BA4" w14:textId="77777777" w:rsidR="0051167F" w:rsidRPr="005C2D33" w:rsidRDefault="0051167F" w:rsidP="0051167F">
                            <w:pPr>
                              <w:rPr>
                                <w:rFonts w:ascii="Calibri" w:hAnsi="Calibri"/>
                                <w:b/>
                                <w:color w:val="FFFFFF" w:themeColor="background1"/>
                                <w:sz w:val="28"/>
                                <w:szCs w:val="28"/>
                              </w:rPr>
                            </w:pPr>
                            <w:r>
                              <w:rPr>
                                <w:rFonts w:ascii="Calibri" w:hAnsi="Calibri"/>
                                <w:b/>
                                <w:color w:val="FFFFFF" w:themeColor="background1"/>
                                <w:sz w:val="28"/>
                                <w:szCs w:val="28"/>
                              </w:rPr>
                              <w:t xml:space="preserve">   4.  </w:t>
                            </w:r>
                            <w:r w:rsidRPr="005C2D33">
                              <w:rPr>
                                <w:rFonts w:ascii="Calibri" w:hAnsi="Calibri"/>
                                <w:b/>
                                <w:color w:val="FFFFFF" w:themeColor="background1"/>
                                <w:sz w:val="28"/>
                                <w:szCs w:val="28"/>
                              </w:rPr>
                              <w:t>Work</w:t>
                            </w:r>
                            <w:r w:rsidR="0020722C">
                              <w:rPr>
                                <w:rFonts w:ascii="Calibri" w:hAnsi="Calibri"/>
                                <w:b/>
                                <w:color w:val="FFFFFF" w:themeColor="background1"/>
                                <w:sz w:val="28"/>
                                <w:szCs w:val="28"/>
                              </w:rPr>
                              <w:t>p</w:t>
                            </w:r>
                            <w:r w:rsidRPr="005C2D33">
                              <w:rPr>
                                <w:rFonts w:ascii="Calibri" w:hAnsi="Calibri"/>
                                <w:b/>
                                <w:color w:val="FFFFFF" w:themeColor="background1"/>
                                <w:sz w:val="28"/>
                                <w:szCs w:val="28"/>
                              </w:rPr>
                              <w:t>lace Readiness</w:t>
                            </w:r>
                            <w:r w:rsidR="0020722C">
                              <w:rPr>
                                <w:rFonts w:ascii="Calibri" w:hAnsi="Calibri"/>
                                <w:b/>
                                <w:color w:val="FFFFFF" w:themeColor="background1"/>
                                <w:sz w:val="28"/>
                                <w:szCs w:val="28"/>
                              </w:rPr>
                              <w:t xml:space="preserve"> Training</w:t>
                            </w:r>
                          </w:p>
                          <w:p w14:paraId="4781A052" w14:textId="77777777" w:rsidR="0051167F" w:rsidRDefault="0051167F" w:rsidP="005116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68B3A2AF" id="Rectangle 11" o:spid="_x0000_s1030" style="position:absolute;margin-left:0;margin-top:14.8pt;width:225pt;height:24pt;z-index:-2516449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" fillcolor="#92d050" strokecolor="#41719c" strokeweight="1pt">
                <v:textbox>
                  <w:txbxContent>
                    <w:p w:rsidR="0051167F" w:rsidRPr="005C2D33" w:rsidRDefault="0051167F" w:rsidP="0051167F">
                      <w:pPr>
                        <w:rPr>
                          <w:rFonts w:ascii="Calibri" w:hAnsi="Calibri"/>
                          <w:b/>
                          <w:color w:val="FFFFFF" w:themeColor="background1"/>
                          <w:sz w:val="28"/>
                          <w:szCs w:val="28"/>
                        </w:rPr>
                      </w:pPr>
                      <w:r>
                        <w:rPr>
                          <w:rFonts w:ascii="Calibri" w:hAnsi="Calibri"/>
                          <w:b/>
                          <w:color w:val="FFFFFF" w:themeColor="background1"/>
                          <w:sz w:val="28"/>
                          <w:szCs w:val="28"/>
                        </w:rPr>
                        <w:t xml:space="preserve">   4.  </w:t>
                      </w:r>
                      <w:r w:rsidRPr="005C2D33">
                        <w:rPr>
                          <w:rFonts w:ascii="Calibri" w:hAnsi="Calibri"/>
                          <w:b/>
                          <w:color w:val="FFFFFF" w:themeColor="background1"/>
                          <w:sz w:val="28"/>
                          <w:szCs w:val="28"/>
                        </w:rPr>
                        <w:t>Work</w:t>
                      </w:r>
                      <w:r w:rsidR="0020722C">
                        <w:rPr>
                          <w:rFonts w:ascii="Calibri" w:hAnsi="Calibri"/>
                          <w:b/>
                          <w:color w:val="FFFFFF" w:themeColor="background1"/>
                          <w:sz w:val="28"/>
                          <w:szCs w:val="28"/>
                        </w:rPr>
                        <w:t>p</w:t>
                      </w:r>
                      <w:r w:rsidRPr="005C2D33">
                        <w:rPr>
                          <w:rFonts w:ascii="Calibri" w:hAnsi="Calibri"/>
                          <w:b/>
                          <w:color w:val="FFFFFF" w:themeColor="background1"/>
                          <w:sz w:val="28"/>
                          <w:szCs w:val="28"/>
                        </w:rPr>
                        <w:t>lace Readiness</w:t>
                      </w:r>
                      <w:r w:rsidR="0020722C">
                        <w:rPr>
                          <w:rFonts w:ascii="Calibri" w:hAnsi="Calibri"/>
                          <w:b/>
                          <w:color w:val="FFFFFF" w:themeColor="background1"/>
                          <w:sz w:val="28"/>
                          <w:szCs w:val="28"/>
                        </w:rPr>
                        <w:t xml:space="preserve"> Training</w:t>
                      </w:r>
                    </w:p>
                    <w:p w:rsidR="0051167F" w:rsidRDefault="0051167F" w:rsidP="0051167F">
                      <w:pPr>
                        <w:jc w:val="center"/>
                      </w:pPr>
                    </w:p>
                  </w:txbxContent>
                </v:textbox>
                <w10:wrap type="tight" anchorx="margin"/>
              </v:rect>
            </w:pict>
          </mc:Fallback>
        </mc:AlternateContent>
      </w:r>
      <w:r w:rsidR="00CC72F7">
        <w:rPr>
          <w:rFonts w:ascii="Calibri" w:hAnsi="Calibri" w:cs="Courier New"/>
          <w:noProof/>
          <w:color w:val="000000"/>
          <w:sz w:val="24"/>
          <w:szCs w:val="24"/>
        </w:rPr>
        <w:drawing>
          <wp:anchor distT="0" distB="0" distL="114300" distR="114300" simplePos="0" relativeHeight="251692032" behindDoc="1" locked="0" layoutInCell="1" allowOverlap="1" wp14:anchorId="6D814716" wp14:editId="13910284">
            <wp:simplePos x="0" y="0"/>
            <wp:positionH relativeFrom="column">
              <wp:posOffset>-438785</wp:posOffset>
            </wp:positionH>
            <wp:positionV relativeFrom="paragraph">
              <wp:posOffset>194945</wp:posOffset>
            </wp:positionV>
            <wp:extent cx="264160" cy="264160"/>
            <wp:effectExtent l="0" t="0" r="2540" b="2540"/>
            <wp:wrapTight wrapText="bothSides">
              <wp:wrapPolygon edited="0">
                <wp:start x="6231" y="0"/>
                <wp:lineTo x="0" y="7788"/>
                <wp:lineTo x="0" y="18692"/>
                <wp:lineTo x="6231" y="20250"/>
                <wp:lineTo x="15577" y="20250"/>
                <wp:lineTo x="20250" y="12462"/>
                <wp:lineTo x="20250" y="0"/>
                <wp:lineTo x="15577" y="0"/>
                <wp:lineTo x="6231" y="0"/>
              </wp:wrapPolygon>
            </wp:wrapTight>
            <wp:docPr id="37" name="Picture 37" titl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rinted-Matter-Book-ico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14:sizeRelH relativeFrom="page">
              <wp14:pctWidth>0</wp14:pctWidth>
            </wp14:sizeRelH>
            <wp14:sizeRelV relativeFrom="page">
              <wp14:pctHeight>0</wp14:pctHeight>
            </wp14:sizeRelV>
          </wp:anchor>
        </w:drawing>
      </w:r>
    </w:p>
    <w:p w14:paraId="0F18F5D1" w14:textId="77777777" w:rsidR="00961660" w:rsidRDefault="00961660" w:rsidP="00961660">
      <w:pPr>
        <w:autoSpaceDE w:val="0"/>
        <w:autoSpaceDN w:val="0"/>
        <w:adjustRightInd w:val="0"/>
        <w:spacing w:after="0" w:line="240" w:lineRule="auto"/>
        <w:rPr>
          <w:rFonts w:ascii="Calibri" w:hAnsi="Calibri" w:cs="Courier New"/>
          <w:color w:val="000000"/>
          <w:sz w:val="24"/>
          <w:szCs w:val="24"/>
        </w:rPr>
      </w:pPr>
      <w:r w:rsidRPr="007677B0">
        <w:rPr>
          <w:rFonts w:ascii="Calibri" w:hAnsi="Calibri" w:cs="Courier New"/>
          <w:color w:val="000000"/>
          <w:sz w:val="24"/>
          <w:szCs w:val="24"/>
        </w:rPr>
        <w:t>may include programming to develop social skills and independent living, such as communi</w:t>
      </w:r>
      <w:r w:rsidR="00FD55A4">
        <w:rPr>
          <w:rFonts w:ascii="Calibri" w:hAnsi="Calibri" w:cs="Courier New"/>
          <w:color w:val="000000"/>
          <w:sz w:val="24"/>
          <w:szCs w:val="24"/>
        </w:rPr>
        <w:t>cation and interpersonal skills;</w:t>
      </w:r>
      <w:r w:rsidRPr="007677B0">
        <w:rPr>
          <w:rFonts w:ascii="Calibri" w:hAnsi="Calibri" w:cs="Courier New"/>
          <w:color w:val="000000"/>
          <w:sz w:val="24"/>
          <w:szCs w:val="24"/>
        </w:rPr>
        <w:t xml:space="preserve"> financial literacy</w:t>
      </w:r>
      <w:r w:rsidR="00FD55A4">
        <w:rPr>
          <w:rFonts w:ascii="Calibri" w:hAnsi="Calibri" w:cs="Courier New"/>
          <w:color w:val="000000"/>
          <w:sz w:val="24"/>
          <w:szCs w:val="24"/>
        </w:rPr>
        <w:t>;</w:t>
      </w:r>
      <w:r w:rsidRPr="007677B0">
        <w:rPr>
          <w:rFonts w:ascii="Calibri" w:hAnsi="Calibri" w:cs="Courier New"/>
          <w:color w:val="000000"/>
          <w:sz w:val="24"/>
          <w:szCs w:val="24"/>
        </w:rPr>
        <w:t xml:space="preserve"> </w:t>
      </w:r>
      <w:r w:rsidR="00FD55A4">
        <w:rPr>
          <w:rFonts w:ascii="Calibri" w:hAnsi="Calibri" w:cs="Courier New"/>
          <w:color w:val="000000"/>
          <w:sz w:val="24"/>
          <w:szCs w:val="24"/>
        </w:rPr>
        <w:t>orientation and mobility skills; job-seeking skills; and</w:t>
      </w:r>
      <w:r w:rsidRPr="007677B0">
        <w:rPr>
          <w:rFonts w:ascii="Calibri" w:hAnsi="Calibri" w:cs="Courier New"/>
          <w:color w:val="000000"/>
          <w:sz w:val="24"/>
          <w:szCs w:val="24"/>
        </w:rPr>
        <w:t xml:space="preserve"> understanding employer expectations for punctuality and performance, </w:t>
      </w:r>
      <w:r w:rsidR="00FD55A4">
        <w:rPr>
          <w:rFonts w:ascii="Calibri" w:hAnsi="Calibri" w:cs="Courier New"/>
          <w:color w:val="000000"/>
          <w:sz w:val="24"/>
          <w:szCs w:val="24"/>
        </w:rPr>
        <w:t>along</w:t>
      </w:r>
      <w:r w:rsidRPr="007677B0">
        <w:rPr>
          <w:rFonts w:ascii="Calibri" w:hAnsi="Calibri" w:cs="Courier New"/>
          <w:color w:val="000000"/>
          <w:sz w:val="24"/>
          <w:szCs w:val="24"/>
        </w:rPr>
        <w:t xml:space="preserve"> </w:t>
      </w:r>
      <w:r w:rsidR="00FD55A4">
        <w:rPr>
          <w:rFonts w:ascii="Calibri" w:hAnsi="Calibri" w:cs="Courier New"/>
          <w:color w:val="000000"/>
          <w:sz w:val="24"/>
          <w:szCs w:val="24"/>
        </w:rPr>
        <w:t>with</w:t>
      </w:r>
      <w:r w:rsidRPr="007677B0">
        <w:rPr>
          <w:rFonts w:ascii="Calibri" w:hAnsi="Calibri" w:cs="Courier New"/>
          <w:color w:val="000000"/>
          <w:sz w:val="24"/>
          <w:szCs w:val="24"/>
        </w:rPr>
        <w:t xml:space="preserve"> other “soft” skills necessary for employment. </w:t>
      </w:r>
      <w:r w:rsidR="003035E8">
        <w:rPr>
          <w:rFonts w:ascii="Calibri" w:hAnsi="Calibri" w:cs="Courier New"/>
          <w:color w:val="000000"/>
          <w:sz w:val="24"/>
          <w:szCs w:val="24"/>
        </w:rPr>
        <w:t xml:space="preserve"> </w:t>
      </w:r>
      <w:r w:rsidRPr="007677B0">
        <w:rPr>
          <w:rFonts w:ascii="Calibri" w:hAnsi="Calibri" w:cs="Courier New"/>
          <w:color w:val="000000"/>
          <w:sz w:val="24"/>
          <w:szCs w:val="24"/>
        </w:rPr>
        <w:t xml:space="preserve">These services may include instruction, as well as opportunities to acquire and apply knowledge. </w:t>
      </w:r>
      <w:r w:rsidR="003035E8">
        <w:rPr>
          <w:rFonts w:ascii="Calibri" w:hAnsi="Calibri" w:cs="Courier New"/>
          <w:color w:val="000000"/>
          <w:sz w:val="24"/>
          <w:szCs w:val="24"/>
        </w:rPr>
        <w:t xml:space="preserve"> </w:t>
      </w:r>
      <w:r w:rsidR="00FD55A4">
        <w:rPr>
          <w:rFonts w:ascii="Calibri" w:hAnsi="Calibri" w:cs="Courier New"/>
          <w:color w:val="000000"/>
          <w:sz w:val="24"/>
          <w:szCs w:val="24"/>
        </w:rPr>
        <w:t>They</w:t>
      </w:r>
      <w:r w:rsidRPr="007677B0">
        <w:rPr>
          <w:rFonts w:ascii="Calibri" w:hAnsi="Calibri" w:cs="Courier New"/>
          <w:color w:val="000000"/>
          <w:sz w:val="24"/>
          <w:szCs w:val="24"/>
        </w:rPr>
        <w:t xml:space="preserve"> may be provided in a generalized manner in a classroom setting or be tailored to an individual’s needs in a training program provided in an educational or community setting.</w:t>
      </w:r>
    </w:p>
    <w:p w14:paraId="4B9B1191" w14:textId="77777777" w:rsidR="008617D9" w:rsidRDefault="00B639CF" w:rsidP="00961660">
      <w:pPr>
        <w:autoSpaceDE w:val="0"/>
        <w:autoSpaceDN w:val="0"/>
        <w:adjustRightInd w:val="0"/>
        <w:spacing w:after="0" w:line="240" w:lineRule="auto"/>
        <w:rPr>
          <w:rFonts w:ascii="Calibri" w:hAnsi="Calibri" w:cs="Courier New"/>
          <w:color w:val="000000"/>
          <w:sz w:val="24"/>
          <w:szCs w:val="24"/>
        </w:rPr>
      </w:pPr>
      <w:r>
        <w:rPr>
          <w:b/>
          <w:noProof/>
          <w:sz w:val="28"/>
          <w:szCs w:val="28"/>
        </w:rPr>
        <w:drawing>
          <wp:anchor distT="0" distB="0" distL="114300" distR="114300" simplePos="0" relativeHeight="251712512" behindDoc="1" locked="0" layoutInCell="1" allowOverlap="1" wp14:anchorId="3D1A4E9B" wp14:editId="3546632E">
            <wp:simplePos x="0" y="0"/>
            <wp:positionH relativeFrom="column">
              <wp:posOffset>-457200</wp:posOffset>
            </wp:positionH>
            <wp:positionV relativeFrom="paragraph">
              <wp:posOffset>194945</wp:posOffset>
            </wp:positionV>
            <wp:extent cx="342900" cy="342900"/>
            <wp:effectExtent l="0" t="0" r="0" b="0"/>
            <wp:wrapTight wrapText="bothSides">
              <wp:wrapPolygon edited="0">
                <wp:start x="2400" y="0"/>
                <wp:lineTo x="0" y="2400"/>
                <wp:lineTo x="1200" y="7200"/>
                <wp:lineTo x="6000" y="19200"/>
                <wp:lineTo x="6000" y="20400"/>
                <wp:lineTo x="14400" y="20400"/>
                <wp:lineTo x="14400" y="19200"/>
                <wp:lineTo x="20400" y="4800"/>
                <wp:lineTo x="20400" y="1200"/>
                <wp:lineTo x="13200" y="0"/>
                <wp:lineTo x="2400" y="0"/>
              </wp:wrapPolygon>
            </wp:wrapTight>
            <wp:docPr id="51" name="Picture 51" title="Light 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dea[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16FDBBD3" w14:textId="77777777" w:rsidR="00B639CF" w:rsidRPr="00531578" w:rsidRDefault="00B639CF" w:rsidP="002811E4">
      <w:pPr>
        <w:pStyle w:val="NoSpacing"/>
        <w:numPr>
          <w:ilvl w:val="0"/>
          <w:numId w:val="5"/>
        </w:numPr>
        <w:ind w:left="360" w:hanging="270"/>
        <w:rPr>
          <w:rFonts w:asciiTheme="minorHAnsi" w:hAnsiTheme="minorHAnsi"/>
        </w:rPr>
      </w:pPr>
      <w:r w:rsidRPr="00531578">
        <w:rPr>
          <w:rFonts w:asciiTheme="minorHAnsi" w:hAnsiTheme="minorHAnsi"/>
        </w:rPr>
        <w:t xml:space="preserve">Offer soft skills training to facilitate awareness of social skills and personal strengths and challenges in the workplace. </w:t>
      </w:r>
    </w:p>
    <w:p w14:paraId="1F1B4075" w14:textId="77777777" w:rsidR="00B639CF" w:rsidRPr="00531578" w:rsidRDefault="00B639CF" w:rsidP="002811E4">
      <w:pPr>
        <w:pStyle w:val="NoSpacing"/>
        <w:numPr>
          <w:ilvl w:val="0"/>
          <w:numId w:val="5"/>
        </w:numPr>
        <w:ind w:left="360" w:hanging="270"/>
        <w:rPr>
          <w:rFonts w:asciiTheme="minorHAnsi" w:hAnsiTheme="minorHAnsi"/>
        </w:rPr>
      </w:pPr>
      <w:r w:rsidRPr="00531578">
        <w:rPr>
          <w:rFonts w:asciiTheme="minorHAnsi" w:hAnsiTheme="minorHAnsi"/>
        </w:rPr>
        <w:t>Explore existing soft skills training</w:t>
      </w:r>
      <w:r w:rsidR="00FD55A4">
        <w:rPr>
          <w:rFonts w:asciiTheme="minorHAnsi" w:hAnsiTheme="minorHAnsi"/>
        </w:rPr>
        <w:t xml:space="preserve">. </w:t>
      </w:r>
      <w:r w:rsidRPr="00531578">
        <w:rPr>
          <w:rFonts w:asciiTheme="minorHAnsi" w:hAnsiTheme="minorHAnsi"/>
        </w:rPr>
        <w:t xml:space="preserve"> </w:t>
      </w:r>
      <w:r w:rsidR="00FD55A4">
        <w:rPr>
          <w:rFonts w:asciiTheme="minorHAnsi" w:hAnsiTheme="minorHAnsi"/>
        </w:rPr>
        <w:t>F</w:t>
      </w:r>
      <w:r w:rsidRPr="00531578">
        <w:rPr>
          <w:rFonts w:asciiTheme="minorHAnsi" w:hAnsiTheme="minorHAnsi"/>
        </w:rPr>
        <w:t>or example: through local Job Service offices; Easter Seals-Goodwill Peer Connections (</w:t>
      </w:r>
      <w:hyperlink r:id="rId20" w:history="1">
        <w:r w:rsidRPr="00531578">
          <w:rPr>
            <w:rStyle w:val="Hyperlink"/>
            <w:rFonts w:asciiTheme="minorHAnsi" w:hAnsiTheme="minorHAnsi"/>
          </w:rPr>
          <w:t>http://www.easterseals.com/esgw/our-programs/autism-asd-services/peer-connections.html</w:t>
        </w:r>
      </w:hyperlink>
      <w:r w:rsidRPr="00531578">
        <w:rPr>
          <w:rFonts w:asciiTheme="minorHAnsi" w:hAnsiTheme="minorHAnsi"/>
        </w:rPr>
        <w:t>); Missoula-based JOBS’s (Job Opportunity-Based Services) Job Ready program (</w:t>
      </w:r>
      <w:hyperlink r:id="rId21" w:history="1">
        <w:r w:rsidRPr="00531578">
          <w:rPr>
            <w:rStyle w:val="Hyperlink"/>
            <w:rFonts w:asciiTheme="minorHAnsi" w:hAnsiTheme="minorHAnsi"/>
          </w:rPr>
          <w:t>http://www.jobsinfomt.com/jobreadyprogram.html</w:t>
        </w:r>
      </w:hyperlink>
      <w:r w:rsidRPr="00531578">
        <w:rPr>
          <w:rFonts w:asciiTheme="minorHAnsi" w:hAnsiTheme="minorHAnsi"/>
        </w:rPr>
        <w:t>); MYTransitions’ Soft Skills Academies (</w:t>
      </w:r>
      <w:hyperlink r:id="rId22" w:history="1">
        <w:r w:rsidRPr="00531578">
          <w:rPr>
            <w:rStyle w:val="Hyperlink"/>
            <w:rFonts w:asciiTheme="minorHAnsi" w:hAnsiTheme="minorHAnsi"/>
          </w:rPr>
          <w:t>http://montanayouthtransitions.org/soft-skills-academies/</w:t>
        </w:r>
      </w:hyperlink>
      <w:r w:rsidRPr="00531578">
        <w:rPr>
          <w:rFonts w:asciiTheme="minorHAnsi" w:hAnsiTheme="minorHAnsi"/>
        </w:rPr>
        <w:t xml:space="preserve">); </w:t>
      </w:r>
      <w:r w:rsidR="00FD55A4">
        <w:rPr>
          <w:rFonts w:asciiTheme="minorHAnsi" w:hAnsiTheme="minorHAnsi"/>
        </w:rPr>
        <w:t xml:space="preserve">Centers for Independent Living; </w:t>
      </w:r>
      <w:r w:rsidRPr="00531578">
        <w:rPr>
          <w:rFonts w:asciiTheme="minorHAnsi" w:hAnsiTheme="minorHAnsi"/>
        </w:rPr>
        <w:t>and the Office of Disability Employment Policy’s (ODEP) “Skills to Pay the Bills” curriculum (</w:t>
      </w:r>
      <w:hyperlink r:id="rId23" w:history="1">
        <w:r w:rsidRPr="00531578">
          <w:rPr>
            <w:rStyle w:val="Hyperlink"/>
            <w:rFonts w:asciiTheme="minorHAnsi" w:hAnsiTheme="minorHAnsi"/>
          </w:rPr>
          <w:t>http://www.dol.gov/odep/topics/youth/softskills/</w:t>
        </w:r>
      </w:hyperlink>
      <w:r w:rsidRPr="00531578">
        <w:rPr>
          <w:rFonts w:asciiTheme="minorHAnsi" w:hAnsiTheme="minorHAnsi"/>
        </w:rPr>
        <w:t>)</w:t>
      </w:r>
      <w:r w:rsidR="00FD55A4">
        <w:rPr>
          <w:rFonts w:asciiTheme="minorHAnsi" w:hAnsiTheme="minorHAnsi"/>
        </w:rPr>
        <w:t>.</w:t>
      </w:r>
    </w:p>
    <w:p w14:paraId="738481D2" w14:textId="77777777" w:rsidR="00B639CF" w:rsidRPr="00531578" w:rsidRDefault="00B639CF" w:rsidP="002811E4">
      <w:pPr>
        <w:pStyle w:val="NoSpacing"/>
        <w:numPr>
          <w:ilvl w:val="0"/>
          <w:numId w:val="5"/>
        </w:numPr>
        <w:ind w:left="360" w:hanging="270"/>
        <w:rPr>
          <w:rFonts w:asciiTheme="minorHAnsi" w:hAnsiTheme="minorHAnsi"/>
        </w:rPr>
      </w:pPr>
      <w:r w:rsidRPr="00531578">
        <w:rPr>
          <w:rFonts w:asciiTheme="minorHAnsi" w:hAnsiTheme="minorHAnsi"/>
        </w:rPr>
        <w:lastRenderedPageBreak/>
        <w:t xml:space="preserve">Assist students with workplace readiness training using transition curriculum from Life Centered Education </w:t>
      </w:r>
      <w:hyperlink r:id="rId24" w:history="1">
        <w:r w:rsidRPr="00531578">
          <w:rPr>
            <w:rStyle w:val="Hyperlink"/>
            <w:rFonts w:asciiTheme="minorHAnsi" w:hAnsiTheme="minorHAnsi"/>
          </w:rPr>
          <w:t>https://www.cec.sped.org/Publications/LCE-Transition-Curriculum</w:t>
        </w:r>
      </w:hyperlink>
      <w:r w:rsidRPr="00531578">
        <w:rPr>
          <w:rFonts w:asciiTheme="minorHAnsi" w:hAnsiTheme="minorHAnsi"/>
        </w:rPr>
        <w:t xml:space="preserve"> or Attainment Company </w:t>
      </w:r>
      <w:hyperlink r:id="rId25" w:history="1">
        <w:r w:rsidRPr="00531578">
          <w:rPr>
            <w:rStyle w:val="Hyperlink"/>
            <w:rFonts w:asciiTheme="minorHAnsi" w:hAnsiTheme="minorHAnsi"/>
          </w:rPr>
          <w:t>http://www.attainmentcompany.com/</w:t>
        </w:r>
      </w:hyperlink>
      <w:r w:rsidR="00FD55A4">
        <w:rPr>
          <w:rStyle w:val="Hyperlink"/>
          <w:rFonts w:asciiTheme="minorHAnsi" w:hAnsiTheme="minorHAnsi"/>
          <w:u w:val="none"/>
        </w:rPr>
        <w:t>.</w:t>
      </w:r>
    </w:p>
    <w:p w14:paraId="3D7553C5" w14:textId="77777777" w:rsidR="00B639CF" w:rsidRDefault="00B639CF" w:rsidP="002811E4">
      <w:pPr>
        <w:pStyle w:val="NoSpacing"/>
        <w:numPr>
          <w:ilvl w:val="0"/>
          <w:numId w:val="5"/>
        </w:numPr>
        <w:ind w:left="360" w:hanging="270"/>
        <w:rPr>
          <w:rFonts w:asciiTheme="minorHAnsi" w:hAnsiTheme="minorHAnsi"/>
        </w:rPr>
      </w:pPr>
      <w:r w:rsidRPr="00531578">
        <w:rPr>
          <w:rFonts w:asciiTheme="minorHAnsi" w:hAnsiTheme="minorHAnsi"/>
        </w:rPr>
        <w:t>Teach students strategies to promote independence at work such as time management, moving from task to task, and self-monitoring production and performance.</w:t>
      </w:r>
    </w:p>
    <w:p w14:paraId="591B776B" w14:textId="77777777" w:rsidR="00FD55A4" w:rsidRPr="00FD55A4" w:rsidRDefault="00FD55A4" w:rsidP="00FD55A4">
      <w:pPr>
        <w:pStyle w:val="NoSpacing"/>
        <w:numPr>
          <w:ilvl w:val="0"/>
          <w:numId w:val="5"/>
        </w:numPr>
        <w:ind w:left="360" w:hanging="270"/>
        <w:rPr>
          <w:rFonts w:asciiTheme="minorHAnsi" w:hAnsiTheme="minorHAnsi"/>
        </w:rPr>
      </w:pPr>
      <w:r w:rsidRPr="00531578">
        <w:rPr>
          <w:rFonts w:asciiTheme="minorHAnsi" w:hAnsiTheme="minorHAnsi"/>
        </w:rPr>
        <w:t>Support students to explore job-specific and disability-specific assistive technology, as well as how to pay for the assistive technology.</w:t>
      </w:r>
    </w:p>
    <w:p w14:paraId="0DC12F52" w14:textId="77777777" w:rsidR="00B639CF" w:rsidRPr="00531578" w:rsidRDefault="00B639CF" w:rsidP="002811E4">
      <w:pPr>
        <w:pStyle w:val="NoSpacing"/>
        <w:numPr>
          <w:ilvl w:val="0"/>
          <w:numId w:val="5"/>
        </w:numPr>
        <w:ind w:left="360" w:hanging="270"/>
        <w:rPr>
          <w:rFonts w:asciiTheme="minorHAnsi" w:hAnsiTheme="minorHAnsi"/>
        </w:rPr>
      </w:pPr>
      <w:r w:rsidRPr="00531578">
        <w:rPr>
          <w:rFonts w:asciiTheme="minorHAnsi" w:hAnsiTheme="minorHAnsi"/>
        </w:rPr>
        <w:t>Teach students to use assistive technology that will enable them to be independent at work.</w:t>
      </w:r>
    </w:p>
    <w:p w14:paraId="47412266" w14:textId="77777777" w:rsidR="00B639CF" w:rsidRPr="00531578" w:rsidRDefault="00FD55A4" w:rsidP="002811E4">
      <w:pPr>
        <w:pStyle w:val="NoSpacing"/>
        <w:numPr>
          <w:ilvl w:val="0"/>
          <w:numId w:val="5"/>
        </w:numPr>
        <w:ind w:left="360" w:hanging="270"/>
        <w:rPr>
          <w:rFonts w:asciiTheme="minorHAnsi" w:hAnsiTheme="minorHAnsi"/>
        </w:rPr>
      </w:pPr>
      <w:r>
        <w:rPr>
          <w:rFonts w:asciiTheme="minorHAnsi" w:hAnsiTheme="minorHAnsi"/>
        </w:rPr>
        <w:t>Teach workplace vocabulary and s</w:t>
      </w:r>
      <w:r w:rsidR="00B639CF" w:rsidRPr="00531578">
        <w:rPr>
          <w:rFonts w:asciiTheme="minorHAnsi" w:hAnsiTheme="minorHAnsi"/>
        </w:rPr>
        <w:t xml:space="preserve">upport students to develop competent communication for the workplace. Develop strategies for augmentative and alternative communication if needed. </w:t>
      </w:r>
    </w:p>
    <w:p w14:paraId="28D17314" w14:textId="77777777" w:rsidR="00B639CF" w:rsidRPr="00FD55A4" w:rsidRDefault="00B639CF" w:rsidP="00FD55A4">
      <w:pPr>
        <w:pStyle w:val="NoSpacing"/>
        <w:numPr>
          <w:ilvl w:val="0"/>
          <w:numId w:val="5"/>
        </w:numPr>
        <w:ind w:left="360" w:hanging="270"/>
        <w:rPr>
          <w:rFonts w:asciiTheme="minorHAnsi" w:hAnsiTheme="minorHAnsi"/>
        </w:rPr>
      </w:pPr>
      <w:r w:rsidRPr="00531578">
        <w:rPr>
          <w:rFonts w:asciiTheme="minorHAnsi" w:hAnsiTheme="minorHAnsi"/>
        </w:rPr>
        <w:t>Have students participate in financial readines</w:t>
      </w:r>
      <w:r w:rsidR="00FD55A4">
        <w:rPr>
          <w:rFonts w:asciiTheme="minorHAnsi" w:hAnsiTheme="minorHAnsi"/>
        </w:rPr>
        <w:t xml:space="preserve">s classes through local banks. </w:t>
      </w:r>
      <w:r w:rsidRPr="00FD55A4">
        <w:rPr>
          <w:rFonts w:asciiTheme="minorHAnsi" w:hAnsiTheme="minorHAnsi"/>
        </w:rPr>
        <w:t xml:space="preserve"> </w:t>
      </w:r>
    </w:p>
    <w:p w14:paraId="06389FCF" w14:textId="77777777" w:rsidR="00B639CF" w:rsidRPr="00531578" w:rsidRDefault="00B639CF" w:rsidP="002811E4">
      <w:pPr>
        <w:pStyle w:val="NoSpacing"/>
        <w:numPr>
          <w:ilvl w:val="0"/>
          <w:numId w:val="5"/>
        </w:numPr>
        <w:ind w:left="360" w:hanging="270"/>
        <w:rPr>
          <w:rFonts w:asciiTheme="minorHAnsi" w:hAnsiTheme="minorHAnsi"/>
        </w:rPr>
      </w:pPr>
      <w:r w:rsidRPr="00531578">
        <w:rPr>
          <w:rFonts w:asciiTheme="minorHAnsi" w:hAnsiTheme="minorHAnsi"/>
        </w:rPr>
        <w:t xml:space="preserve">Offer financial literacy instruction addressing such topics as getting a paycheck, calculating the impact of wages on SSI, reporting wages to the Social Security Administration, applicable Social Security work incentives, saving, and budgeting. </w:t>
      </w:r>
    </w:p>
    <w:p w14:paraId="45577DFF" w14:textId="77777777" w:rsidR="00B639CF" w:rsidRPr="00531578" w:rsidRDefault="00B639CF" w:rsidP="002811E4">
      <w:pPr>
        <w:pStyle w:val="NoSpacing"/>
        <w:numPr>
          <w:ilvl w:val="0"/>
          <w:numId w:val="5"/>
        </w:numPr>
        <w:ind w:left="360" w:hanging="270"/>
        <w:rPr>
          <w:rFonts w:asciiTheme="minorHAnsi" w:hAnsiTheme="minorHAnsi"/>
        </w:rPr>
      </w:pPr>
      <w:r w:rsidRPr="00531578">
        <w:rPr>
          <w:rFonts w:asciiTheme="minorHAnsi" w:hAnsiTheme="minorHAnsi"/>
        </w:rPr>
        <w:t xml:space="preserve">Provide and discuss examples of job descriptions, compensation and taxes, workplace expectations, and evaluation/performance appraisal documentation. </w:t>
      </w:r>
    </w:p>
    <w:p w14:paraId="48898983" w14:textId="77777777" w:rsidR="00B639CF" w:rsidRPr="00531578" w:rsidRDefault="00B639CF" w:rsidP="002811E4">
      <w:pPr>
        <w:pStyle w:val="NoSpacing"/>
        <w:numPr>
          <w:ilvl w:val="0"/>
          <w:numId w:val="5"/>
        </w:numPr>
        <w:ind w:left="360" w:hanging="270"/>
        <w:rPr>
          <w:rFonts w:asciiTheme="minorHAnsi" w:hAnsiTheme="minorHAnsi"/>
        </w:rPr>
      </w:pPr>
      <w:r w:rsidRPr="00531578">
        <w:rPr>
          <w:rFonts w:asciiTheme="minorHAnsi" w:hAnsiTheme="minorHAnsi"/>
        </w:rPr>
        <w:t>Provide opportunities to practice form completion and the gathering of required documentation/verification (for example</w:t>
      </w:r>
      <w:r w:rsidR="00FD55A4">
        <w:rPr>
          <w:rFonts w:asciiTheme="minorHAnsi" w:hAnsiTheme="minorHAnsi"/>
        </w:rPr>
        <w:t xml:space="preserve">, </w:t>
      </w:r>
      <w:r w:rsidRPr="00531578">
        <w:rPr>
          <w:rFonts w:asciiTheme="minorHAnsi" w:hAnsiTheme="minorHAnsi"/>
        </w:rPr>
        <w:t xml:space="preserve">background check applications, health information and insurance paperwork, picture identification cards, and W-9 tax forms). </w:t>
      </w:r>
    </w:p>
    <w:p w14:paraId="5F6D3351" w14:textId="77777777" w:rsidR="00B639CF" w:rsidRPr="00531578" w:rsidRDefault="00B639CF" w:rsidP="002811E4">
      <w:pPr>
        <w:pStyle w:val="NoSpacing"/>
        <w:numPr>
          <w:ilvl w:val="0"/>
          <w:numId w:val="5"/>
        </w:numPr>
        <w:ind w:left="360" w:hanging="270"/>
        <w:rPr>
          <w:rFonts w:asciiTheme="minorHAnsi" w:hAnsiTheme="minorHAnsi"/>
        </w:rPr>
      </w:pPr>
      <w:r w:rsidRPr="00531578">
        <w:rPr>
          <w:rFonts w:asciiTheme="minorHAnsi" w:hAnsiTheme="minorHAnsi"/>
        </w:rPr>
        <w:t xml:space="preserve">Provide opportunities for students to take the WorkKeys evaluations at registered sites either in school or at local Job Service offices.  </w:t>
      </w:r>
    </w:p>
    <w:p w14:paraId="7B568443" w14:textId="77777777" w:rsidR="00B639CF" w:rsidRPr="00531578" w:rsidRDefault="00B639CF" w:rsidP="002811E4">
      <w:pPr>
        <w:pStyle w:val="NoSpacing"/>
        <w:numPr>
          <w:ilvl w:val="0"/>
          <w:numId w:val="5"/>
        </w:numPr>
        <w:ind w:left="360" w:hanging="270"/>
        <w:rPr>
          <w:rFonts w:asciiTheme="minorHAnsi" w:hAnsiTheme="minorHAnsi"/>
        </w:rPr>
      </w:pPr>
      <w:r w:rsidRPr="00531578">
        <w:rPr>
          <w:rFonts w:asciiTheme="minorHAnsi" w:hAnsiTheme="minorHAnsi"/>
        </w:rPr>
        <w:t xml:space="preserve">Teach workplace expectations such as work hours and breaks, vacation time, annual holidays, personal hygiene, maintenance of uniforms, health and safety requirements, etc. </w:t>
      </w:r>
    </w:p>
    <w:p w14:paraId="411CF660" w14:textId="77777777" w:rsidR="00B639CF" w:rsidRPr="00531578" w:rsidRDefault="00B639CF" w:rsidP="002811E4">
      <w:pPr>
        <w:pStyle w:val="NoSpacing"/>
        <w:numPr>
          <w:ilvl w:val="0"/>
          <w:numId w:val="5"/>
        </w:numPr>
        <w:ind w:left="360" w:hanging="270"/>
        <w:rPr>
          <w:rFonts w:asciiTheme="minorHAnsi" w:hAnsiTheme="minorHAnsi"/>
        </w:rPr>
      </w:pPr>
      <w:r w:rsidRPr="00531578">
        <w:rPr>
          <w:rFonts w:asciiTheme="minorHAnsi" w:hAnsiTheme="minorHAnsi"/>
        </w:rPr>
        <w:t>Offer opportunities for students to learn basic first aid for the workplace.</w:t>
      </w:r>
    </w:p>
    <w:p w14:paraId="0F249A6B" w14:textId="77777777" w:rsidR="00B639CF" w:rsidRPr="00531578" w:rsidRDefault="00B639CF" w:rsidP="002811E4">
      <w:pPr>
        <w:pStyle w:val="NoSpacing"/>
        <w:numPr>
          <w:ilvl w:val="0"/>
          <w:numId w:val="5"/>
        </w:numPr>
        <w:ind w:left="360" w:hanging="270"/>
        <w:rPr>
          <w:rFonts w:asciiTheme="minorHAnsi" w:hAnsiTheme="minorHAnsi"/>
        </w:rPr>
      </w:pPr>
      <w:r w:rsidRPr="00531578">
        <w:rPr>
          <w:rFonts w:asciiTheme="minorHAnsi" w:hAnsiTheme="minorHAnsi"/>
        </w:rPr>
        <w:t>Partner with the Regional Transition Committee</w:t>
      </w:r>
      <w:r w:rsidR="00FD55A4">
        <w:rPr>
          <w:rFonts w:asciiTheme="minorHAnsi" w:hAnsiTheme="minorHAnsi"/>
        </w:rPr>
        <w:t xml:space="preserve"> and/or the local Center for Independent Living</w:t>
      </w:r>
      <w:r w:rsidRPr="00531578">
        <w:rPr>
          <w:rFonts w:asciiTheme="minorHAnsi" w:hAnsiTheme="minorHAnsi"/>
        </w:rPr>
        <w:t xml:space="preserve"> for ideas around workplace readiness.</w:t>
      </w:r>
    </w:p>
    <w:p w14:paraId="0A44B0AC" w14:textId="77777777" w:rsidR="00B639CF" w:rsidRPr="00B639CF" w:rsidRDefault="00B639CF" w:rsidP="002811E4">
      <w:pPr>
        <w:pStyle w:val="NoSpacing"/>
        <w:numPr>
          <w:ilvl w:val="0"/>
          <w:numId w:val="5"/>
        </w:numPr>
        <w:autoSpaceDE w:val="0"/>
        <w:autoSpaceDN w:val="0"/>
        <w:adjustRightInd w:val="0"/>
        <w:ind w:left="360" w:hanging="270"/>
        <w:rPr>
          <w:rFonts w:ascii="Calibri" w:hAnsi="Calibri" w:cs="Courier New"/>
          <w:color w:val="000000"/>
          <w:szCs w:val="24"/>
        </w:rPr>
      </w:pPr>
      <w:r w:rsidRPr="00531578">
        <w:rPr>
          <w:rFonts w:asciiTheme="minorHAnsi" w:hAnsiTheme="minorHAnsi"/>
        </w:rPr>
        <w:t xml:space="preserve">Provide </w:t>
      </w:r>
      <w:r w:rsidR="0078353D">
        <w:rPr>
          <w:rFonts w:asciiTheme="minorHAnsi" w:hAnsiTheme="minorHAnsi"/>
        </w:rPr>
        <w:t>“</w:t>
      </w:r>
      <w:r w:rsidRPr="00531578">
        <w:rPr>
          <w:rFonts w:asciiTheme="minorHAnsi" w:hAnsiTheme="minorHAnsi"/>
        </w:rPr>
        <w:t>transportation and travel</w:t>
      </w:r>
      <w:r w:rsidR="0078353D">
        <w:rPr>
          <w:rFonts w:asciiTheme="minorHAnsi" w:hAnsiTheme="minorHAnsi"/>
        </w:rPr>
        <w:t>”</w:t>
      </w:r>
      <w:r w:rsidRPr="00531578">
        <w:rPr>
          <w:rFonts w:asciiTheme="minorHAnsi" w:hAnsiTheme="minorHAnsi"/>
        </w:rPr>
        <w:t xml:space="preserve"> training. Determine if travel trainers are available through Vocational Rehabilitation and Blind Services or the local Center for Independent Living. </w:t>
      </w:r>
    </w:p>
    <w:p w14:paraId="083A7A00" w14:textId="77777777" w:rsidR="002811E4" w:rsidRPr="002811E4" w:rsidRDefault="002811E4" w:rsidP="002811E4">
      <w:pPr>
        <w:pStyle w:val="NoSpacing"/>
        <w:numPr>
          <w:ilvl w:val="0"/>
          <w:numId w:val="5"/>
        </w:numPr>
        <w:ind w:left="360" w:hanging="270"/>
        <w:rPr>
          <w:rFonts w:asciiTheme="minorHAnsi" w:hAnsiTheme="minorHAnsi"/>
        </w:rPr>
      </w:pPr>
      <w:r w:rsidRPr="002811E4">
        <w:rPr>
          <w:rFonts w:asciiTheme="minorHAnsi" w:hAnsiTheme="minorHAnsi"/>
        </w:rPr>
        <w:t xml:space="preserve">Connect students with the Summit Independent Living Center-BASE Program improvisation class. </w:t>
      </w:r>
    </w:p>
    <w:p w14:paraId="4666F85D" w14:textId="5F92417D" w:rsidR="002811E4" w:rsidRPr="002811E4" w:rsidRDefault="002811E4" w:rsidP="002811E4">
      <w:pPr>
        <w:pStyle w:val="NoSpacing"/>
        <w:numPr>
          <w:ilvl w:val="0"/>
          <w:numId w:val="5"/>
        </w:numPr>
        <w:ind w:left="360" w:hanging="270"/>
        <w:rPr>
          <w:rFonts w:asciiTheme="minorHAnsi" w:hAnsiTheme="minorHAnsi"/>
        </w:rPr>
      </w:pPr>
      <w:r w:rsidRPr="002811E4">
        <w:rPr>
          <w:rFonts w:asciiTheme="minorHAnsi" w:hAnsiTheme="minorHAnsi"/>
        </w:rPr>
        <w:t>Connect with other schools</w:t>
      </w:r>
      <w:r w:rsidR="00944587">
        <w:rPr>
          <w:rFonts w:asciiTheme="minorHAnsi" w:hAnsiTheme="minorHAnsi"/>
        </w:rPr>
        <w:t xml:space="preserve"> and service providers</w:t>
      </w:r>
      <w:r w:rsidRPr="002811E4">
        <w:rPr>
          <w:rFonts w:asciiTheme="minorHAnsi" w:hAnsiTheme="minorHAnsi"/>
        </w:rPr>
        <w:t xml:space="preserve"> that have Pre-Employment Transition Services ideas and information to share.</w:t>
      </w:r>
    </w:p>
    <w:p w14:paraId="7752E19F" w14:textId="77777777" w:rsidR="002811E4" w:rsidRPr="002811E4" w:rsidRDefault="002811E4" w:rsidP="002811E4">
      <w:pPr>
        <w:pStyle w:val="NoSpacing"/>
        <w:numPr>
          <w:ilvl w:val="0"/>
          <w:numId w:val="5"/>
        </w:numPr>
        <w:ind w:left="360" w:hanging="270"/>
        <w:rPr>
          <w:rFonts w:asciiTheme="minorHAnsi" w:hAnsiTheme="minorHAnsi"/>
        </w:rPr>
      </w:pPr>
      <w:r w:rsidRPr="002811E4">
        <w:rPr>
          <w:rFonts w:asciiTheme="minorHAnsi" w:hAnsiTheme="minorHAnsi"/>
        </w:rPr>
        <w:t>Invite employers to present to students about what skills they are looking for in employees.</w:t>
      </w:r>
    </w:p>
    <w:p w14:paraId="41A688CC" w14:textId="77777777" w:rsidR="002811E4" w:rsidRPr="002811E4" w:rsidRDefault="002811E4" w:rsidP="002811E4">
      <w:pPr>
        <w:pStyle w:val="NoSpacing"/>
        <w:numPr>
          <w:ilvl w:val="0"/>
          <w:numId w:val="5"/>
        </w:numPr>
        <w:ind w:left="360" w:hanging="270"/>
        <w:rPr>
          <w:rFonts w:asciiTheme="minorHAnsi" w:hAnsiTheme="minorHAnsi"/>
        </w:rPr>
      </w:pPr>
      <w:r w:rsidRPr="002811E4">
        <w:rPr>
          <w:rFonts w:asciiTheme="minorHAnsi" w:hAnsiTheme="minorHAnsi"/>
        </w:rPr>
        <w:t xml:space="preserve">Host practice interview sessions. Check with the local Adult Basic and Literacy Education program and/or Job Service to see if they can assist with this. </w:t>
      </w:r>
    </w:p>
    <w:p w14:paraId="2CDAD3A6" w14:textId="77777777" w:rsidR="002811E4" w:rsidRPr="002811E4" w:rsidRDefault="002811E4" w:rsidP="002811E4">
      <w:pPr>
        <w:pStyle w:val="NoSpacing"/>
        <w:numPr>
          <w:ilvl w:val="0"/>
          <w:numId w:val="5"/>
        </w:numPr>
        <w:ind w:left="360" w:hanging="270"/>
        <w:rPr>
          <w:rFonts w:asciiTheme="minorHAnsi" w:hAnsiTheme="minorHAnsi"/>
        </w:rPr>
      </w:pPr>
      <w:r w:rsidRPr="002811E4">
        <w:rPr>
          <w:rFonts w:asciiTheme="minorHAnsi" w:hAnsiTheme="minorHAnsi"/>
        </w:rPr>
        <w:t>Create opportunities to teach student</w:t>
      </w:r>
      <w:r w:rsidR="00172336">
        <w:rPr>
          <w:rFonts w:asciiTheme="minorHAnsi" w:hAnsiTheme="minorHAnsi"/>
        </w:rPr>
        <w:t>s</w:t>
      </w:r>
      <w:r w:rsidRPr="002811E4">
        <w:rPr>
          <w:rFonts w:asciiTheme="minorHAnsi" w:hAnsiTheme="minorHAnsi"/>
        </w:rPr>
        <w:t xml:space="preserve"> customer service skills. Examples of such opportunities include a school store, concessions at school events, and school-run businesses such as the Harlo Theatre featured in the show “Backroads of Montana” (episode #134).</w:t>
      </w:r>
    </w:p>
    <w:p w14:paraId="61F66377" w14:textId="77777777" w:rsidR="002811E4" w:rsidRPr="002811E4" w:rsidRDefault="002811E4" w:rsidP="002811E4">
      <w:pPr>
        <w:pStyle w:val="NoSpacing"/>
        <w:numPr>
          <w:ilvl w:val="0"/>
          <w:numId w:val="5"/>
        </w:numPr>
        <w:ind w:left="360" w:hanging="270"/>
        <w:rPr>
          <w:rFonts w:asciiTheme="minorHAnsi" w:hAnsiTheme="minorHAnsi"/>
        </w:rPr>
      </w:pPr>
      <w:r w:rsidRPr="002811E4">
        <w:rPr>
          <w:rFonts w:asciiTheme="minorHAnsi" w:hAnsiTheme="minorHAnsi"/>
        </w:rPr>
        <w:t>Create a job club/class to practice job skills.</w:t>
      </w:r>
    </w:p>
    <w:p w14:paraId="4452B61B" w14:textId="77777777" w:rsidR="002811E4" w:rsidRPr="002811E4" w:rsidRDefault="002811E4" w:rsidP="002811E4">
      <w:pPr>
        <w:pStyle w:val="NoSpacing"/>
        <w:numPr>
          <w:ilvl w:val="0"/>
          <w:numId w:val="5"/>
        </w:numPr>
        <w:ind w:left="360" w:hanging="270"/>
        <w:rPr>
          <w:rFonts w:asciiTheme="minorHAnsi" w:hAnsiTheme="minorHAnsi"/>
        </w:rPr>
      </w:pPr>
      <w:r w:rsidRPr="002811E4">
        <w:rPr>
          <w:rFonts w:asciiTheme="minorHAnsi" w:hAnsiTheme="minorHAnsi"/>
        </w:rPr>
        <w:lastRenderedPageBreak/>
        <w:t xml:space="preserve">Explore resources such as the Workforce Recruitment Program by visiting the ODEP website at </w:t>
      </w:r>
      <w:hyperlink r:id="rId26" w:history="1">
        <w:r w:rsidRPr="002811E4">
          <w:rPr>
            <w:rStyle w:val="Hyperlink"/>
            <w:rFonts w:asciiTheme="minorHAnsi" w:hAnsiTheme="minorHAnsi"/>
          </w:rPr>
          <w:t>http://www.dol.gov/odep/</w:t>
        </w:r>
      </w:hyperlink>
      <w:r w:rsidRPr="002811E4">
        <w:rPr>
          <w:rFonts w:asciiTheme="minorHAnsi" w:hAnsiTheme="minorHAnsi"/>
        </w:rPr>
        <w:t xml:space="preserve">. </w:t>
      </w:r>
    </w:p>
    <w:p w14:paraId="3420F689" w14:textId="77777777" w:rsidR="008617D9" w:rsidRPr="002811E4" w:rsidRDefault="002811E4" w:rsidP="002811E4">
      <w:pPr>
        <w:pStyle w:val="NoSpacing"/>
        <w:numPr>
          <w:ilvl w:val="0"/>
          <w:numId w:val="5"/>
        </w:numPr>
        <w:ind w:left="360" w:hanging="270"/>
        <w:rPr>
          <w:rFonts w:asciiTheme="minorHAnsi" w:hAnsiTheme="minorHAnsi"/>
        </w:rPr>
      </w:pPr>
      <w:r w:rsidRPr="002811E4">
        <w:rPr>
          <w:rFonts w:asciiTheme="minorHAnsi" w:hAnsiTheme="minorHAnsi"/>
        </w:rPr>
        <w:t>Explore the “Working Well with a Disability” curriculum with the local Center for Independent Living and/or the Rural Institute for Inclusive Communities. What aspects of this curriculum would fit for youth?</w:t>
      </w:r>
      <w:r w:rsidR="00B639CF" w:rsidRPr="002811E4">
        <w:rPr>
          <w:rFonts w:asciiTheme="minorHAnsi" w:hAnsiTheme="minorHAnsi"/>
        </w:rPr>
        <w:t xml:space="preserve">  </w:t>
      </w:r>
    </w:p>
    <w:p w14:paraId="6F9EBF9B" w14:textId="77777777" w:rsidR="00B639CF" w:rsidRDefault="00B639CF" w:rsidP="00961660">
      <w:pPr>
        <w:autoSpaceDE w:val="0"/>
        <w:autoSpaceDN w:val="0"/>
        <w:adjustRightInd w:val="0"/>
        <w:spacing w:after="0" w:line="240" w:lineRule="auto"/>
        <w:rPr>
          <w:rFonts w:ascii="Calibri" w:hAnsi="Calibri" w:cs="Courier New"/>
          <w:color w:val="000000"/>
          <w:sz w:val="24"/>
          <w:szCs w:val="24"/>
        </w:rPr>
      </w:pPr>
    </w:p>
    <w:p w14:paraId="09F265FF" w14:textId="77777777" w:rsidR="00B639CF" w:rsidRDefault="00B639CF" w:rsidP="00961660">
      <w:pPr>
        <w:autoSpaceDE w:val="0"/>
        <w:autoSpaceDN w:val="0"/>
        <w:adjustRightInd w:val="0"/>
        <w:spacing w:after="0" w:line="240" w:lineRule="auto"/>
        <w:rPr>
          <w:rFonts w:ascii="Calibri" w:hAnsi="Calibri" w:cs="Courier New"/>
          <w:color w:val="000000"/>
          <w:sz w:val="24"/>
          <w:szCs w:val="24"/>
        </w:rPr>
      </w:pPr>
    </w:p>
    <w:p w14:paraId="333F9D70" w14:textId="77777777" w:rsidR="00961660" w:rsidRPr="007677B0" w:rsidRDefault="00CC72F7" w:rsidP="00961660">
      <w:pPr>
        <w:autoSpaceDE w:val="0"/>
        <w:autoSpaceDN w:val="0"/>
        <w:adjustRightInd w:val="0"/>
        <w:spacing w:after="0" w:line="240" w:lineRule="auto"/>
        <w:rPr>
          <w:rFonts w:ascii="Calibri" w:hAnsi="Calibri" w:cs="Courier New"/>
          <w:color w:val="000000"/>
          <w:sz w:val="24"/>
          <w:szCs w:val="24"/>
        </w:rPr>
      </w:pPr>
      <w:r>
        <w:rPr>
          <w:rFonts w:ascii="Calibri" w:hAnsi="Calibri" w:cs="Courier New"/>
          <w:noProof/>
          <w:color w:val="000000"/>
          <w:sz w:val="24"/>
          <w:szCs w:val="24"/>
        </w:rPr>
        <w:drawing>
          <wp:anchor distT="0" distB="0" distL="114300" distR="114300" simplePos="0" relativeHeight="251694080" behindDoc="1" locked="0" layoutInCell="1" allowOverlap="1" wp14:anchorId="7613DB7B" wp14:editId="72D80467">
            <wp:simplePos x="0" y="0"/>
            <wp:positionH relativeFrom="column">
              <wp:posOffset>-438150</wp:posOffset>
            </wp:positionH>
            <wp:positionV relativeFrom="paragraph">
              <wp:posOffset>195580</wp:posOffset>
            </wp:positionV>
            <wp:extent cx="264160" cy="264160"/>
            <wp:effectExtent l="0" t="0" r="2540" b="2540"/>
            <wp:wrapTight wrapText="bothSides">
              <wp:wrapPolygon edited="0">
                <wp:start x="6231" y="0"/>
                <wp:lineTo x="0" y="7788"/>
                <wp:lineTo x="0" y="18692"/>
                <wp:lineTo x="6231" y="20250"/>
                <wp:lineTo x="15577" y="20250"/>
                <wp:lineTo x="20250" y="12462"/>
                <wp:lineTo x="20250" y="0"/>
                <wp:lineTo x="15577" y="0"/>
                <wp:lineTo x="6231" y="0"/>
              </wp:wrapPolygon>
            </wp:wrapTight>
            <wp:docPr id="38" name="Picture 38" titl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rinted-Matter-Book-ico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14:sizeRelH relativeFrom="page">
              <wp14:pctWidth>0</wp14:pctWidth>
            </wp14:sizeRelH>
            <wp14:sizeRelV relativeFrom="page">
              <wp14:pctHeight>0</wp14:pctHeight>
            </wp14:sizeRelV>
          </wp:anchor>
        </w:drawing>
      </w:r>
    </w:p>
    <w:p w14:paraId="2A879533" w14:textId="77777777" w:rsidR="00961660" w:rsidRPr="007677B0" w:rsidRDefault="00CC72F7" w:rsidP="00961660">
      <w:pPr>
        <w:autoSpaceDE w:val="0"/>
        <w:autoSpaceDN w:val="0"/>
        <w:adjustRightInd w:val="0"/>
        <w:spacing w:after="0" w:line="240" w:lineRule="auto"/>
        <w:rPr>
          <w:rFonts w:ascii="Calibri" w:hAnsi="Calibri" w:cs="Courier New"/>
          <w:color w:val="000000"/>
          <w:sz w:val="24"/>
          <w:szCs w:val="24"/>
        </w:rPr>
      </w:pPr>
      <w:r>
        <w:rPr>
          <w:rFonts w:ascii="Calibri" w:hAnsi="Calibri"/>
          <w:noProof/>
          <w:sz w:val="24"/>
          <w:szCs w:val="24"/>
        </w:rPr>
        <mc:AlternateContent>
          <mc:Choice Requires="wps">
            <w:drawing>
              <wp:anchor distT="0" distB="0" distL="114300" distR="114300" simplePos="0" relativeHeight="251673600" behindDoc="1" locked="0" layoutInCell="1" allowOverlap="1" wp14:anchorId="642DD409" wp14:editId="4D2C3768">
                <wp:simplePos x="0" y="0"/>
                <wp:positionH relativeFrom="margin">
                  <wp:align>left</wp:align>
                </wp:positionH>
                <wp:positionV relativeFrom="paragraph">
                  <wp:posOffset>7620</wp:posOffset>
                </wp:positionV>
                <wp:extent cx="2724150" cy="295275"/>
                <wp:effectExtent l="0" t="0" r="19050" b="28575"/>
                <wp:wrapTight wrapText="bothSides">
                  <wp:wrapPolygon edited="0">
                    <wp:start x="0" y="0"/>
                    <wp:lineTo x="0" y="22297"/>
                    <wp:lineTo x="21600" y="22297"/>
                    <wp:lineTo x="21600" y="0"/>
                    <wp:lineTo x="0" y="0"/>
                  </wp:wrapPolygon>
                </wp:wrapTight>
                <wp:docPr id="12" name="Rectangle 12"/>
                <wp:cNvGraphicFramePr/>
                <a:graphic xmlns:a="http://schemas.openxmlformats.org/drawingml/2006/main">
                  <a:graphicData uri="http://schemas.microsoft.com/office/word/2010/wordprocessingShape">
                    <wps:wsp>
                      <wps:cNvSpPr/>
                      <wps:spPr>
                        <a:xfrm>
                          <a:off x="0" y="0"/>
                          <a:ext cx="2724150" cy="295275"/>
                        </a:xfrm>
                        <a:prstGeom prst="rect">
                          <a:avLst/>
                        </a:prstGeom>
                        <a:solidFill>
                          <a:srgbClr val="002060"/>
                        </a:solidFill>
                        <a:ln w="12700" cap="flat" cmpd="sng" algn="ctr">
                          <a:solidFill>
                            <a:srgbClr val="5B9BD5">
                              <a:shade val="50000"/>
                            </a:srgbClr>
                          </a:solidFill>
                          <a:prstDash val="solid"/>
                          <a:miter lim="800000"/>
                        </a:ln>
                        <a:effectLst/>
                      </wps:spPr>
                      <wps:txbx>
                        <w:txbxContent>
                          <w:p w14:paraId="647C5EE3" w14:textId="77777777" w:rsidR="006A4D8B" w:rsidRPr="008828F8" w:rsidRDefault="006A4D8B" w:rsidP="006A4D8B">
                            <w:pPr>
                              <w:rPr>
                                <w:rFonts w:ascii="Calibri" w:hAnsi="Calibri"/>
                                <w:b/>
                                <w:color w:val="FFFFFF" w:themeColor="background1"/>
                                <w:sz w:val="28"/>
                                <w:szCs w:val="28"/>
                              </w:rPr>
                            </w:pPr>
                            <w:r>
                              <w:rPr>
                                <w:rFonts w:ascii="Calibri" w:hAnsi="Calibri"/>
                                <w:b/>
                                <w:color w:val="FFFFFF" w:themeColor="background1"/>
                                <w:sz w:val="28"/>
                                <w:szCs w:val="28"/>
                              </w:rPr>
                              <w:t xml:space="preserve">   5.  </w:t>
                            </w:r>
                            <w:r w:rsidRPr="008828F8">
                              <w:rPr>
                                <w:rFonts w:ascii="Calibri" w:hAnsi="Calibri"/>
                                <w:b/>
                                <w:color w:val="FFFFFF" w:themeColor="background1"/>
                                <w:sz w:val="28"/>
                                <w:szCs w:val="28"/>
                              </w:rPr>
                              <w:t>Instruction in Self-Advocacy</w:t>
                            </w:r>
                          </w:p>
                          <w:p w14:paraId="125105A8" w14:textId="77777777" w:rsidR="006A4D8B" w:rsidRDefault="006A4D8B" w:rsidP="006A4D8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33057B83" id="Rectangle 12" o:spid="_x0000_s1031" style="position:absolute;margin-left:0;margin-top:.6pt;width:214.5pt;height:23.25pt;z-index:-2516428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" fillcolor="#002060" strokecolor="#41719c" strokeweight="1pt">
                <v:textbox>
                  <w:txbxContent>
                    <w:p w:rsidR="006A4D8B" w:rsidRPr="008828F8" w:rsidRDefault="006A4D8B" w:rsidP="006A4D8B">
                      <w:pPr>
                        <w:rPr>
                          <w:rFonts w:ascii="Calibri" w:hAnsi="Calibri"/>
                          <w:b/>
                          <w:color w:val="FFFFFF" w:themeColor="background1"/>
                          <w:sz w:val="28"/>
                          <w:szCs w:val="28"/>
                        </w:rPr>
                      </w:pPr>
                      <w:r>
                        <w:rPr>
                          <w:rFonts w:ascii="Calibri" w:hAnsi="Calibri"/>
                          <w:b/>
                          <w:color w:val="FFFFFF" w:themeColor="background1"/>
                          <w:sz w:val="28"/>
                          <w:szCs w:val="28"/>
                        </w:rPr>
                        <w:t xml:space="preserve">   5.  </w:t>
                      </w:r>
                      <w:r w:rsidRPr="008828F8">
                        <w:rPr>
                          <w:rFonts w:ascii="Calibri" w:hAnsi="Calibri"/>
                          <w:b/>
                          <w:color w:val="FFFFFF" w:themeColor="background1"/>
                          <w:sz w:val="28"/>
                          <w:szCs w:val="28"/>
                        </w:rPr>
                        <w:t>Instruction in Self-Advocacy</w:t>
                      </w:r>
                    </w:p>
                    <w:p w:rsidR="006A4D8B" w:rsidRDefault="006A4D8B" w:rsidP="006A4D8B">
                      <w:pPr>
                        <w:jc w:val="center"/>
                      </w:pPr>
                      <w:r>
                        <w:t xml:space="preserve"> </w:t>
                      </w:r>
                    </w:p>
                  </w:txbxContent>
                </v:textbox>
                <w10:wrap type="tight" anchorx="margin"/>
              </v:rect>
            </w:pict>
          </mc:Fallback>
        </mc:AlternateContent>
      </w:r>
      <w:r w:rsidR="00961660" w:rsidRPr="007677B0">
        <w:rPr>
          <w:rFonts w:ascii="Calibri" w:hAnsi="Calibri" w:cs="Courier New"/>
          <w:color w:val="000000"/>
          <w:sz w:val="24"/>
          <w:szCs w:val="24"/>
        </w:rPr>
        <w:t xml:space="preserve">in a group setting may include generalized classroom lessons in which students learn about their rights, responsibilities, and how to request accommodations or services and supports needed during the transition from secondary to postsecondary education and employment. </w:t>
      </w:r>
      <w:r w:rsidR="003035E8">
        <w:rPr>
          <w:rFonts w:ascii="Calibri" w:hAnsi="Calibri" w:cs="Courier New"/>
          <w:color w:val="000000"/>
          <w:sz w:val="24"/>
          <w:szCs w:val="24"/>
        </w:rPr>
        <w:t xml:space="preserve"> </w:t>
      </w:r>
      <w:r w:rsidR="00961660" w:rsidRPr="007677B0">
        <w:rPr>
          <w:rFonts w:ascii="Calibri" w:hAnsi="Calibri" w:cs="Courier New"/>
          <w:color w:val="000000"/>
          <w:sz w:val="24"/>
          <w:szCs w:val="24"/>
        </w:rPr>
        <w:t xml:space="preserve">During these lessons, students may share their thoughts, concerns, and needs, in order to prepare them for peer mentoring opportunities with individuals working in their area(s) of interest. </w:t>
      </w:r>
      <w:r w:rsidR="003035E8">
        <w:rPr>
          <w:rFonts w:ascii="Calibri" w:hAnsi="Calibri" w:cs="Courier New"/>
          <w:color w:val="000000"/>
          <w:sz w:val="24"/>
          <w:szCs w:val="24"/>
        </w:rPr>
        <w:t xml:space="preserve"> </w:t>
      </w:r>
      <w:r w:rsidR="00961660" w:rsidRPr="007677B0">
        <w:rPr>
          <w:rFonts w:ascii="Calibri" w:hAnsi="Calibri" w:cs="Courier New"/>
          <w:color w:val="000000"/>
          <w:sz w:val="24"/>
          <w:szCs w:val="24"/>
        </w:rPr>
        <w:t>Further individual</w:t>
      </w:r>
      <w:r w:rsidR="004B2DBE">
        <w:rPr>
          <w:rFonts w:ascii="Calibri" w:hAnsi="Calibri" w:cs="Courier New"/>
          <w:color w:val="000000"/>
          <w:sz w:val="24"/>
          <w:szCs w:val="24"/>
        </w:rPr>
        <w:t>ized</w:t>
      </w:r>
      <w:r w:rsidR="00961660" w:rsidRPr="007677B0">
        <w:rPr>
          <w:rFonts w:ascii="Calibri" w:hAnsi="Calibri" w:cs="Courier New"/>
          <w:color w:val="000000"/>
          <w:sz w:val="24"/>
          <w:szCs w:val="24"/>
        </w:rPr>
        <w:t xml:space="preserve"> opportunities may be arranged for students to conduct informational interviews or mentor with educational staff such as principals, nurses, teachers, or office staff; or they may mentor with individuals employed by or volunteering for employers, boards, associations, or organizations in integrated community settings. </w:t>
      </w:r>
      <w:r w:rsidR="003035E8">
        <w:rPr>
          <w:rFonts w:ascii="Calibri" w:hAnsi="Calibri" w:cs="Courier New"/>
          <w:color w:val="000000"/>
          <w:sz w:val="24"/>
          <w:szCs w:val="24"/>
        </w:rPr>
        <w:t xml:space="preserve"> </w:t>
      </w:r>
      <w:r w:rsidR="00961660" w:rsidRPr="007677B0">
        <w:rPr>
          <w:rFonts w:ascii="Calibri" w:hAnsi="Calibri" w:cs="Courier New"/>
          <w:color w:val="000000"/>
          <w:sz w:val="24"/>
          <w:szCs w:val="24"/>
        </w:rPr>
        <w:t>Students may also participate in youth leadership activities offered in educational or community settings.</w:t>
      </w:r>
    </w:p>
    <w:p w14:paraId="2E739241" w14:textId="77777777" w:rsidR="00EE4EE9" w:rsidRPr="00EE4EE9" w:rsidRDefault="005232CA">
      <w:r>
        <w:rPr>
          <w:b/>
          <w:noProof/>
          <w:sz w:val="28"/>
          <w:szCs w:val="28"/>
        </w:rPr>
        <w:drawing>
          <wp:anchor distT="0" distB="0" distL="114300" distR="114300" simplePos="0" relativeHeight="251716608" behindDoc="1" locked="0" layoutInCell="1" allowOverlap="1" wp14:anchorId="34567E54" wp14:editId="7539256B">
            <wp:simplePos x="0" y="0"/>
            <wp:positionH relativeFrom="column">
              <wp:posOffset>-447675</wp:posOffset>
            </wp:positionH>
            <wp:positionV relativeFrom="paragraph">
              <wp:posOffset>294640</wp:posOffset>
            </wp:positionV>
            <wp:extent cx="342900" cy="342900"/>
            <wp:effectExtent l="0" t="0" r="0" b="0"/>
            <wp:wrapTight wrapText="bothSides">
              <wp:wrapPolygon edited="0">
                <wp:start x="2400" y="0"/>
                <wp:lineTo x="0" y="2400"/>
                <wp:lineTo x="1200" y="7200"/>
                <wp:lineTo x="6000" y="19200"/>
                <wp:lineTo x="6000" y="20400"/>
                <wp:lineTo x="14400" y="20400"/>
                <wp:lineTo x="14400" y="19200"/>
                <wp:lineTo x="20400" y="4800"/>
                <wp:lineTo x="20400" y="1200"/>
                <wp:lineTo x="13200" y="0"/>
                <wp:lineTo x="2400" y="0"/>
              </wp:wrapPolygon>
            </wp:wrapTight>
            <wp:docPr id="53" name="Picture 53" title="Light 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dea[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22BEA174" w14:textId="26EF0CFF" w:rsidR="00EE4EE9" w:rsidRPr="00EE4EE9" w:rsidRDefault="00EE4EE9" w:rsidP="00EE4EE9">
      <w:pPr>
        <w:pStyle w:val="NoSpacing"/>
        <w:numPr>
          <w:ilvl w:val="0"/>
          <w:numId w:val="10"/>
        </w:numPr>
        <w:ind w:left="284" w:hanging="284"/>
        <w:rPr>
          <w:rFonts w:asciiTheme="minorHAnsi" w:hAnsiTheme="minorHAnsi"/>
        </w:rPr>
      </w:pPr>
      <w:r w:rsidRPr="00EE4EE9">
        <w:rPr>
          <w:rFonts w:asciiTheme="minorHAnsi" w:hAnsiTheme="minorHAnsi"/>
        </w:rPr>
        <w:t xml:space="preserve">Compile a library of relevant transition </w:t>
      </w:r>
      <w:r w:rsidR="00C45802">
        <w:rPr>
          <w:rFonts w:asciiTheme="minorHAnsi" w:hAnsiTheme="minorHAnsi"/>
        </w:rPr>
        <w:t>checklists</w:t>
      </w:r>
      <w:r w:rsidRPr="00EE4EE9">
        <w:rPr>
          <w:rFonts w:asciiTheme="minorHAnsi" w:hAnsiTheme="minorHAnsi"/>
        </w:rPr>
        <w:t xml:space="preserve"> which focus on self-advocacy in order to support individualized education planning for activities within the Transition Services Needed section of the IEP.  These may be online or paper resources. </w:t>
      </w:r>
    </w:p>
    <w:p w14:paraId="0644B0D1" w14:textId="77777777" w:rsidR="00EE4EE9" w:rsidRPr="00EE4EE9" w:rsidRDefault="00EE4EE9" w:rsidP="00EE4EE9">
      <w:pPr>
        <w:pStyle w:val="NoSpacing"/>
        <w:numPr>
          <w:ilvl w:val="0"/>
          <w:numId w:val="10"/>
        </w:numPr>
        <w:ind w:left="284" w:hanging="284"/>
        <w:rPr>
          <w:rFonts w:asciiTheme="minorHAnsi" w:hAnsiTheme="minorHAnsi"/>
        </w:rPr>
      </w:pPr>
      <w:r w:rsidRPr="00EE4EE9">
        <w:rPr>
          <w:rFonts w:asciiTheme="minorHAnsi" w:hAnsiTheme="minorHAnsi"/>
        </w:rPr>
        <w:t xml:space="preserve">Encourage students to participate in the Montana Youth Leadership Forum (MYLF). </w:t>
      </w:r>
    </w:p>
    <w:p w14:paraId="143FF4F4" w14:textId="77777777" w:rsidR="00EE4EE9" w:rsidRPr="00EE4EE9" w:rsidRDefault="00EE4EE9" w:rsidP="00EE4EE9">
      <w:pPr>
        <w:pStyle w:val="NoSpacing"/>
        <w:numPr>
          <w:ilvl w:val="0"/>
          <w:numId w:val="10"/>
        </w:numPr>
        <w:ind w:left="284" w:hanging="284"/>
        <w:rPr>
          <w:rFonts w:asciiTheme="minorHAnsi" w:hAnsiTheme="minorHAnsi"/>
        </w:rPr>
      </w:pPr>
      <w:r w:rsidRPr="00EE4EE9">
        <w:rPr>
          <w:rFonts w:asciiTheme="minorHAnsi" w:hAnsiTheme="minorHAnsi"/>
        </w:rPr>
        <w:t>Support students in setting one or two relevant personal self-advocacy goals for the school year (for example, keeping a calendar, making medical appointments, and participating in required transition evaluations for moving from pediatric to adult health and/or mental health services).</w:t>
      </w:r>
    </w:p>
    <w:p w14:paraId="74A502DD" w14:textId="77777777" w:rsidR="00EE4EE9" w:rsidRPr="00EE4EE9" w:rsidRDefault="00EE4EE9" w:rsidP="00EE4EE9">
      <w:pPr>
        <w:pStyle w:val="NoSpacing"/>
        <w:numPr>
          <w:ilvl w:val="0"/>
          <w:numId w:val="10"/>
        </w:numPr>
        <w:ind w:left="284" w:hanging="284"/>
        <w:rPr>
          <w:rFonts w:asciiTheme="minorHAnsi" w:hAnsiTheme="minorHAnsi"/>
        </w:rPr>
      </w:pPr>
      <w:r w:rsidRPr="00EE4EE9">
        <w:rPr>
          <w:rFonts w:asciiTheme="minorHAnsi" w:hAnsiTheme="minorHAnsi"/>
        </w:rPr>
        <w:t xml:space="preserve">Teach specific workplace self-advocacy skills, including how to complete time cards, request leave for vacation or medical appointments, and report workplace harassment. </w:t>
      </w:r>
    </w:p>
    <w:p w14:paraId="796BCA66" w14:textId="77777777" w:rsidR="00EE4EE9" w:rsidRPr="00EE4EE9" w:rsidRDefault="00EE4EE9" w:rsidP="00EE4EE9">
      <w:pPr>
        <w:pStyle w:val="NoSpacing"/>
        <w:numPr>
          <w:ilvl w:val="0"/>
          <w:numId w:val="10"/>
        </w:numPr>
        <w:ind w:left="284" w:hanging="284"/>
        <w:rPr>
          <w:rFonts w:asciiTheme="minorHAnsi" w:hAnsiTheme="minorHAnsi"/>
        </w:rPr>
      </w:pPr>
      <w:r w:rsidRPr="00EE4EE9">
        <w:rPr>
          <w:rFonts w:asciiTheme="minorHAnsi" w:hAnsiTheme="minorHAnsi"/>
        </w:rPr>
        <w:t>Provide opportunities for students to practice discussing their individual strengths and challenges, as well as how their individual special educational needs might impact their work performance and how they can manage such impacts.</w:t>
      </w:r>
    </w:p>
    <w:p w14:paraId="44E5EC85" w14:textId="3D6DE046" w:rsidR="004B2DBE" w:rsidRPr="00DC7DB3" w:rsidRDefault="00EE4EE9" w:rsidP="00DC7DB3">
      <w:pPr>
        <w:pStyle w:val="NoSpacing"/>
        <w:numPr>
          <w:ilvl w:val="0"/>
          <w:numId w:val="10"/>
        </w:numPr>
        <w:ind w:left="284" w:hanging="284"/>
        <w:rPr>
          <w:rFonts w:asciiTheme="minorHAnsi" w:hAnsiTheme="minorHAnsi"/>
        </w:rPr>
      </w:pPr>
      <w:r w:rsidRPr="00DC7DB3">
        <w:rPr>
          <w:rFonts w:asciiTheme="minorHAnsi" w:hAnsiTheme="minorHAnsi"/>
        </w:rPr>
        <w:t>Use the application to attend the annual MYTransitions Conference (or any such conference or activity) as a teaching exercise in self-advocacy (learning how to complete applications for scholarships and grants, arranging travel and lodging arrangements, etc.).</w:t>
      </w:r>
    </w:p>
    <w:p w14:paraId="43AF81AF" w14:textId="77777777" w:rsidR="00EE4EE9" w:rsidRPr="00EE4EE9" w:rsidRDefault="00EE4EE9" w:rsidP="00EE4EE9">
      <w:pPr>
        <w:pStyle w:val="NoSpacing"/>
        <w:numPr>
          <w:ilvl w:val="0"/>
          <w:numId w:val="10"/>
        </w:numPr>
        <w:ind w:left="284" w:hanging="284"/>
        <w:rPr>
          <w:rFonts w:asciiTheme="minorHAnsi" w:hAnsiTheme="minorHAnsi"/>
        </w:rPr>
      </w:pPr>
      <w:r w:rsidRPr="00EE4EE9">
        <w:rPr>
          <w:rFonts w:asciiTheme="minorHAnsi" w:hAnsiTheme="minorHAnsi"/>
        </w:rPr>
        <w:t xml:space="preserve">Engage graduated students to speak to students about their recent life experiences in self-advocacy. </w:t>
      </w:r>
    </w:p>
    <w:p w14:paraId="3F0EE879" w14:textId="77777777" w:rsidR="00EE4EE9" w:rsidRPr="00EE4EE9" w:rsidRDefault="00EE4EE9" w:rsidP="00EE4EE9">
      <w:pPr>
        <w:pStyle w:val="NoSpacing"/>
        <w:numPr>
          <w:ilvl w:val="0"/>
          <w:numId w:val="10"/>
        </w:numPr>
        <w:ind w:left="284" w:hanging="284"/>
        <w:rPr>
          <w:rFonts w:asciiTheme="minorHAnsi" w:hAnsiTheme="minorHAnsi"/>
        </w:rPr>
      </w:pPr>
      <w:r w:rsidRPr="00EE4EE9">
        <w:rPr>
          <w:rFonts w:asciiTheme="minorHAnsi" w:hAnsiTheme="minorHAnsi"/>
        </w:rPr>
        <w:t xml:space="preserve">Provide opportunities for students to plan and attend visits and/or meetings with local Vocational Rehabilitation and Blind Services (VRBS) counselors and/or college-based staff to research opportunities for post-secondary employment and education. </w:t>
      </w:r>
    </w:p>
    <w:p w14:paraId="39F931E4" w14:textId="77777777" w:rsidR="00EE4EE9" w:rsidRPr="00EE4EE9" w:rsidRDefault="00EE4EE9" w:rsidP="00EE4EE9">
      <w:pPr>
        <w:pStyle w:val="NoSpacing"/>
        <w:numPr>
          <w:ilvl w:val="0"/>
          <w:numId w:val="10"/>
        </w:numPr>
        <w:ind w:left="284" w:hanging="284"/>
        <w:rPr>
          <w:rFonts w:asciiTheme="minorHAnsi" w:hAnsiTheme="minorHAnsi"/>
        </w:rPr>
      </w:pPr>
      <w:r w:rsidRPr="00EE4EE9">
        <w:rPr>
          <w:rFonts w:asciiTheme="minorHAnsi" w:hAnsiTheme="minorHAnsi"/>
        </w:rPr>
        <w:t>Teach a class about identifying support needs and asking for accommodations at college.</w:t>
      </w:r>
    </w:p>
    <w:p w14:paraId="27FBB9B1" w14:textId="1A16C49F" w:rsidR="00EE4EE9" w:rsidRDefault="00EE4EE9" w:rsidP="00EE4EE9">
      <w:pPr>
        <w:pStyle w:val="NoSpacing"/>
        <w:numPr>
          <w:ilvl w:val="0"/>
          <w:numId w:val="10"/>
        </w:numPr>
        <w:ind w:left="284" w:hanging="284"/>
        <w:rPr>
          <w:rFonts w:asciiTheme="minorHAnsi" w:hAnsiTheme="minorHAnsi"/>
        </w:rPr>
      </w:pPr>
      <w:r w:rsidRPr="00EE4EE9">
        <w:rPr>
          <w:rFonts w:asciiTheme="minorHAnsi" w:hAnsiTheme="minorHAnsi"/>
        </w:rPr>
        <w:lastRenderedPageBreak/>
        <w:t xml:space="preserve">Teach a class on disability disclosure using </w:t>
      </w:r>
      <w:r w:rsidRPr="00EE4EE9">
        <w:rPr>
          <w:rFonts w:asciiTheme="minorHAnsi" w:hAnsiTheme="minorHAnsi"/>
          <w:bCs/>
          <w:u w:val="single"/>
          <w:lang w:val="en-CA"/>
        </w:rPr>
        <w:t>The 411 on Disability Disclosure: A Workbook for Youth with Disabilities</w:t>
      </w:r>
      <w:r w:rsidRPr="00EE4EE9">
        <w:rPr>
          <w:rFonts w:asciiTheme="minorHAnsi" w:hAnsiTheme="minorHAnsi"/>
          <w:bCs/>
          <w:lang w:val="en-CA"/>
        </w:rPr>
        <w:t xml:space="preserve"> </w:t>
      </w:r>
      <w:r w:rsidRPr="00EE4EE9">
        <w:rPr>
          <w:rFonts w:asciiTheme="minorHAnsi" w:hAnsiTheme="minorHAnsi"/>
        </w:rPr>
        <w:t>publication</w:t>
      </w:r>
      <w:r w:rsidR="004B2DBE">
        <w:rPr>
          <w:rFonts w:asciiTheme="minorHAnsi" w:hAnsiTheme="minorHAnsi"/>
        </w:rPr>
        <w:t xml:space="preserve"> available for download at:</w:t>
      </w:r>
      <w:r w:rsidRPr="00EE4EE9">
        <w:rPr>
          <w:rFonts w:asciiTheme="minorHAnsi" w:hAnsiTheme="minorHAnsi"/>
        </w:rPr>
        <w:t xml:space="preserve">. </w:t>
      </w:r>
    </w:p>
    <w:p w14:paraId="3B71E531" w14:textId="26465640" w:rsidR="00944587" w:rsidRPr="00EE4EE9" w:rsidRDefault="00944587" w:rsidP="00DC7DB3">
      <w:pPr>
        <w:pStyle w:val="NoSpacing"/>
        <w:ind w:left="284"/>
        <w:rPr>
          <w:rFonts w:asciiTheme="minorHAnsi" w:hAnsiTheme="minorHAnsi"/>
        </w:rPr>
      </w:pPr>
      <w:r w:rsidRPr="00944587">
        <w:rPr>
          <w:rFonts w:asciiTheme="minorHAnsi" w:hAnsiTheme="minorHAnsi"/>
        </w:rPr>
        <w:t>http://www.ncwd-youth.info/publications/the-411-on-disability-disclosure-a-workbook-for-youth-with-disabilities/</w:t>
      </w:r>
    </w:p>
    <w:p w14:paraId="7F0F882C" w14:textId="77777777" w:rsidR="00EE4EE9" w:rsidRPr="00EE4EE9" w:rsidRDefault="00EE4EE9" w:rsidP="00EE4EE9">
      <w:pPr>
        <w:pStyle w:val="NoSpacing"/>
        <w:numPr>
          <w:ilvl w:val="0"/>
          <w:numId w:val="10"/>
        </w:numPr>
        <w:ind w:left="284" w:hanging="284"/>
        <w:rPr>
          <w:rFonts w:asciiTheme="minorHAnsi" w:hAnsiTheme="minorHAnsi"/>
        </w:rPr>
      </w:pPr>
      <w:r w:rsidRPr="00EE4EE9">
        <w:rPr>
          <w:rFonts w:asciiTheme="minorHAnsi" w:hAnsiTheme="minorHAnsi"/>
        </w:rPr>
        <w:t>Teach a class about negotiating a customized position instead of applying for an existing position, including how to explain what the student needs in a workplace to best contribute to the employer.</w:t>
      </w:r>
    </w:p>
    <w:p w14:paraId="11E80E20" w14:textId="66466F70" w:rsidR="00EE4EE9" w:rsidRPr="00EE4EE9" w:rsidRDefault="00EE4EE9" w:rsidP="00EE4EE9">
      <w:pPr>
        <w:pStyle w:val="NoSpacing"/>
        <w:numPr>
          <w:ilvl w:val="0"/>
          <w:numId w:val="10"/>
        </w:numPr>
        <w:ind w:left="284" w:hanging="284"/>
        <w:rPr>
          <w:rFonts w:asciiTheme="minorHAnsi" w:hAnsiTheme="minorHAnsi"/>
        </w:rPr>
      </w:pPr>
      <w:r w:rsidRPr="00EE4EE9">
        <w:rPr>
          <w:rFonts w:asciiTheme="minorHAnsi" w:hAnsiTheme="minorHAnsi"/>
        </w:rPr>
        <w:t>Teach students to create and use visual resumes to share their “best self”, disclose disability, explain assistive technology</w:t>
      </w:r>
      <w:r w:rsidR="00C961DE">
        <w:rPr>
          <w:rFonts w:asciiTheme="minorHAnsi" w:hAnsiTheme="minorHAnsi"/>
        </w:rPr>
        <w:t xml:space="preserve"> needs</w:t>
      </w:r>
      <w:r w:rsidRPr="00EE4EE9">
        <w:rPr>
          <w:rFonts w:asciiTheme="minorHAnsi" w:hAnsiTheme="minorHAnsi"/>
        </w:rPr>
        <w:t>, and ask for accommodations.</w:t>
      </w:r>
    </w:p>
    <w:p w14:paraId="0E72AB22" w14:textId="77777777" w:rsidR="00EE4EE9" w:rsidRPr="00EE4EE9" w:rsidRDefault="00EE4EE9" w:rsidP="00EE4EE9">
      <w:pPr>
        <w:pStyle w:val="NoSpacing"/>
        <w:numPr>
          <w:ilvl w:val="0"/>
          <w:numId w:val="10"/>
        </w:numPr>
        <w:ind w:left="284" w:hanging="284"/>
        <w:rPr>
          <w:rFonts w:asciiTheme="minorHAnsi" w:hAnsiTheme="minorHAnsi"/>
        </w:rPr>
      </w:pPr>
      <w:r w:rsidRPr="00EE4EE9">
        <w:rPr>
          <w:rFonts w:asciiTheme="minorHAnsi" w:hAnsiTheme="minorHAnsi"/>
        </w:rPr>
        <w:t>Provide opportunities for students to network with adults to learn about their experiences and what helped them succeed.</w:t>
      </w:r>
    </w:p>
    <w:p w14:paraId="601BF218" w14:textId="77777777" w:rsidR="00EE4EE9" w:rsidRPr="00EE4EE9" w:rsidRDefault="00EE4EE9" w:rsidP="00EE4EE9">
      <w:pPr>
        <w:pStyle w:val="NoSpacing"/>
        <w:numPr>
          <w:ilvl w:val="0"/>
          <w:numId w:val="10"/>
        </w:numPr>
        <w:ind w:left="284" w:hanging="284"/>
        <w:rPr>
          <w:rFonts w:asciiTheme="minorHAnsi" w:hAnsiTheme="minorHAnsi"/>
        </w:rPr>
      </w:pPr>
      <w:r w:rsidRPr="00EE4EE9">
        <w:rPr>
          <w:rFonts w:asciiTheme="minorHAnsi" w:hAnsiTheme="minorHAnsi"/>
        </w:rPr>
        <w:t>Review “Living Well with a Disability” and “Working Well with a Disability” (</w:t>
      </w:r>
      <w:hyperlink r:id="rId27" w:history="1">
        <w:r w:rsidRPr="00EE4EE9">
          <w:rPr>
            <w:rStyle w:val="Hyperlink"/>
            <w:rFonts w:asciiTheme="minorHAnsi" w:hAnsiTheme="minorHAnsi"/>
          </w:rPr>
          <w:t>http://livingandworkingwell.ruralinstitute.umt.edu/</w:t>
        </w:r>
      </w:hyperlink>
      <w:r w:rsidRPr="00EE4EE9">
        <w:rPr>
          <w:rFonts w:asciiTheme="minorHAnsi" w:hAnsiTheme="minorHAnsi"/>
        </w:rPr>
        <w:t>). Could portions be used with students in schools?</w:t>
      </w:r>
    </w:p>
    <w:p w14:paraId="2B236C25" w14:textId="77777777" w:rsidR="00EE4EE9" w:rsidRPr="00EE4EE9" w:rsidRDefault="00EE4EE9" w:rsidP="00EE4EE9">
      <w:pPr>
        <w:pStyle w:val="NoSpacing"/>
        <w:numPr>
          <w:ilvl w:val="0"/>
          <w:numId w:val="10"/>
        </w:numPr>
        <w:ind w:left="284" w:hanging="284"/>
        <w:rPr>
          <w:rFonts w:asciiTheme="minorHAnsi" w:hAnsiTheme="minorHAnsi"/>
        </w:rPr>
      </w:pPr>
      <w:r w:rsidRPr="00EE4EE9">
        <w:rPr>
          <w:rFonts w:asciiTheme="minorHAnsi" w:hAnsiTheme="minorHAnsi"/>
        </w:rPr>
        <w:t>Support students to develop a portfolio or file of important papers for after graduation. Contents might include Social Security card, birth certificate, employment information, references, resume, etc.</w:t>
      </w:r>
    </w:p>
    <w:p w14:paraId="08F890BA" w14:textId="7681C5F3" w:rsidR="00EE4EE9" w:rsidRPr="00EE4EE9" w:rsidRDefault="00EE4EE9" w:rsidP="00EE4EE9">
      <w:pPr>
        <w:pStyle w:val="NoSpacing"/>
        <w:numPr>
          <w:ilvl w:val="0"/>
          <w:numId w:val="10"/>
        </w:numPr>
        <w:ind w:left="284" w:hanging="284"/>
        <w:rPr>
          <w:rFonts w:asciiTheme="minorHAnsi" w:hAnsiTheme="minorHAnsi"/>
        </w:rPr>
      </w:pPr>
      <w:r w:rsidRPr="00EE4EE9">
        <w:rPr>
          <w:rFonts w:asciiTheme="minorHAnsi" w:hAnsiTheme="minorHAnsi"/>
        </w:rPr>
        <w:t>Offer students and parents information on Supported Decision</w:t>
      </w:r>
      <w:r w:rsidR="00944587">
        <w:rPr>
          <w:rFonts w:asciiTheme="minorHAnsi" w:hAnsiTheme="minorHAnsi"/>
        </w:rPr>
        <w:t>-</w:t>
      </w:r>
      <w:r w:rsidRPr="00EE4EE9">
        <w:rPr>
          <w:rFonts w:asciiTheme="minorHAnsi" w:hAnsiTheme="minorHAnsi"/>
        </w:rPr>
        <w:t>Making and alternatives to guardianship.</w:t>
      </w:r>
    </w:p>
    <w:p w14:paraId="42D4D569" w14:textId="77777777" w:rsidR="00EE4EE9" w:rsidRPr="00EE4EE9" w:rsidRDefault="00EE4EE9" w:rsidP="00EE4EE9">
      <w:pPr>
        <w:pStyle w:val="NoSpacing"/>
        <w:numPr>
          <w:ilvl w:val="0"/>
          <w:numId w:val="10"/>
        </w:numPr>
        <w:ind w:left="284" w:hanging="284"/>
        <w:rPr>
          <w:rFonts w:asciiTheme="minorHAnsi" w:hAnsiTheme="minorHAnsi"/>
        </w:rPr>
      </w:pPr>
      <w:r w:rsidRPr="00EE4EE9">
        <w:rPr>
          <w:rFonts w:asciiTheme="minorHAnsi" w:hAnsiTheme="minorHAnsi"/>
        </w:rPr>
        <w:t>Teach students about voting and other civic duties and privileges.</w:t>
      </w:r>
    </w:p>
    <w:p w14:paraId="7A0BEC91" w14:textId="77777777" w:rsidR="00EE4EE9" w:rsidRPr="00EE4EE9" w:rsidRDefault="00EE4EE9" w:rsidP="00EE4EE9">
      <w:pPr>
        <w:pStyle w:val="NoSpacing"/>
        <w:numPr>
          <w:ilvl w:val="0"/>
          <w:numId w:val="10"/>
        </w:numPr>
        <w:ind w:left="284" w:hanging="284"/>
        <w:rPr>
          <w:rFonts w:asciiTheme="minorHAnsi" w:hAnsiTheme="minorHAnsi"/>
        </w:rPr>
      </w:pPr>
      <w:r w:rsidRPr="00EE4EE9">
        <w:rPr>
          <w:rFonts w:asciiTheme="minorHAnsi" w:hAnsiTheme="minorHAnsi"/>
        </w:rPr>
        <w:t>Encourage and support students to lead their own IEP meetings. Identify existing resources to teach students to lead their meetings, or create visual resources to help students envision this possibility.</w:t>
      </w:r>
    </w:p>
    <w:p w14:paraId="367F6532" w14:textId="77777777" w:rsidR="00EE4EE9" w:rsidRPr="00EE4EE9" w:rsidRDefault="00EE4EE9" w:rsidP="00EE4EE9">
      <w:pPr>
        <w:pStyle w:val="NoSpacing"/>
        <w:numPr>
          <w:ilvl w:val="0"/>
          <w:numId w:val="10"/>
        </w:numPr>
        <w:ind w:left="284" w:hanging="284"/>
        <w:rPr>
          <w:rFonts w:asciiTheme="minorHAnsi" w:hAnsiTheme="minorHAnsi"/>
        </w:rPr>
      </w:pPr>
      <w:r w:rsidRPr="00EE4EE9">
        <w:rPr>
          <w:rFonts w:asciiTheme="minorHAnsi" w:hAnsiTheme="minorHAnsi"/>
        </w:rPr>
        <w:t>Organize a school-wide Americans with Disabilities Act training.</w:t>
      </w:r>
    </w:p>
    <w:p w14:paraId="505A0601" w14:textId="77777777" w:rsidR="00EE4EE9" w:rsidRPr="00EE4EE9" w:rsidRDefault="00EE4EE9" w:rsidP="00EE4EE9">
      <w:pPr>
        <w:pStyle w:val="NoSpacing"/>
        <w:numPr>
          <w:ilvl w:val="0"/>
          <w:numId w:val="10"/>
        </w:numPr>
        <w:ind w:left="284" w:hanging="284"/>
        <w:rPr>
          <w:rFonts w:asciiTheme="minorHAnsi" w:hAnsiTheme="minorHAnsi"/>
        </w:rPr>
      </w:pPr>
      <w:r w:rsidRPr="00EE4EE9">
        <w:rPr>
          <w:rFonts w:asciiTheme="minorHAnsi" w:hAnsiTheme="minorHAnsi"/>
        </w:rPr>
        <w:t>Organize a school-wide Disability History Day.</w:t>
      </w:r>
    </w:p>
    <w:p w14:paraId="28A54236" w14:textId="77777777" w:rsidR="00EE4EE9" w:rsidRPr="00EE4EE9" w:rsidRDefault="00EE4EE9" w:rsidP="00EE4EE9">
      <w:pPr>
        <w:pStyle w:val="NoSpacing"/>
        <w:numPr>
          <w:ilvl w:val="0"/>
          <w:numId w:val="10"/>
        </w:numPr>
        <w:ind w:left="284" w:hanging="284"/>
        <w:rPr>
          <w:rFonts w:asciiTheme="minorHAnsi" w:hAnsiTheme="minorHAnsi"/>
        </w:rPr>
      </w:pPr>
      <w:r w:rsidRPr="00EE4EE9">
        <w:rPr>
          <w:rFonts w:asciiTheme="minorHAnsi" w:hAnsiTheme="minorHAnsi"/>
        </w:rPr>
        <w:t>Teach individuals with communication difficulties to find and use their voice.</w:t>
      </w:r>
    </w:p>
    <w:p w14:paraId="66E9D008" w14:textId="77777777" w:rsidR="00EE4EE9" w:rsidRPr="00EE4EE9" w:rsidRDefault="00EE4EE9" w:rsidP="00EE4EE9">
      <w:pPr>
        <w:pStyle w:val="NoSpacing"/>
        <w:numPr>
          <w:ilvl w:val="0"/>
          <w:numId w:val="10"/>
        </w:numPr>
        <w:ind w:left="284" w:hanging="284"/>
        <w:rPr>
          <w:rFonts w:asciiTheme="minorHAnsi" w:hAnsiTheme="minorHAnsi"/>
          <w:b/>
          <w:bCs/>
          <w:lang w:val="en-CA"/>
        </w:rPr>
      </w:pPr>
      <w:r w:rsidRPr="00EE4EE9">
        <w:rPr>
          <w:rFonts w:asciiTheme="minorHAnsi" w:hAnsiTheme="minorHAnsi"/>
        </w:rPr>
        <w:t>Connect students with the local Center</w:t>
      </w:r>
      <w:r w:rsidR="004B2DBE">
        <w:rPr>
          <w:rFonts w:asciiTheme="minorHAnsi" w:hAnsiTheme="minorHAnsi"/>
        </w:rPr>
        <w:t>s</w:t>
      </w:r>
      <w:r w:rsidRPr="00EE4EE9">
        <w:rPr>
          <w:rFonts w:asciiTheme="minorHAnsi" w:hAnsiTheme="minorHAnsi"/>
        </w:rPr>
        <w:t xml:space="preserve"> for Independent Living (CIL). Ask about their advocacy/self-advocacy curricula (for example, Summit’s “</w:t>
      </w:r>
      <w:r w:rsidRPr="00EE4EE9">
        <w:rPr>
          <w:rFonts w:asciiTheme="minorHAnsi" w:hAnsiTheme="minorHAnsi"/>
          <w:bCs/>
          <w:lang w:val="en-CA"/>
        </w:rPr>
        <w:t xml:space="preserve">Building Advocacy and Learning Leadership Skills” </w:t>
      </w:r>
      <w:r w:rsidR="00172336">
        <w:rPr>
          <w:rFonts w:asciiTheme="minorHAnsi" w:hAnsiTheme="minorHAnsi"/>
          <w:bCs/>
          <w:lang w:val="en-CA"/>
        </w:rPr>
        <w:t xml:space="preserve">or </w:t>
      </w:r>
      <w:r w:rsidRPr="00EE4EE9">
        <w:rPr>
          <w:rFonts w:asciiTheme="minorHAnsi" w:hAnsiTheme="minorHAnsi"/>
          <w:bCs/>
          <w:lang w:val="en-CA"/>
        </w:rPr>
        <w:t>BALLS</w:t>
      </w:r>
      <w:r w:rsidR="00172336">
        <w:rPr>
          <w:rFonts w:asciiTheme="minorHAnsi" w:hAnsiTheme="minorHAnsi"/>
          <w:bCs/>
          <w:lang w:val="en-CA"/>
        </w:rPr>
        <w:t>,</w:t>
      </w:r>
      <w:r w:rsidRPr="00EE4EE9">
        <w:rPr>
          <w:rFonts w:asciiTheme="minorHAnsi" w:hAnsiTheme="minorHAnsi"/>
          <w:bCs/>
          <w:lang w:val="en-CA"/>
        </w:rPr>
        <w:t xml:space="preserve"> and “Youth Opening Doors through Advocacy” </w:t>
      </w:r>
      <w:r w:rsidR="00172336">
        <w:rPr>
          <w:rFonts w:asciiTheme="minorHAnsi" w:hAnsiTheme="minorHAnsi"/>
          <w:bCs/>
          <w:lang w:val="en-CA"/>
        </w:rPr>
        <w:t xml:space="preserve">or </w:t>
      </w:r>
      <w:r w:rsidRPr="00EE4EE9">
        <w:rPr>
          <w:rFonts w:asciiTheme="minorHAnsi" w:hAnsiTheme="minorHAnsi"/>
          <w:bCs/>
          <w:lang w:val="en-CA"/>
        </w:rPr>
        <w:t>YODA; Disability History classes; etc.).</w:t>
      </w:r>
    </w:p>
    <w:p w14:paraId="32DEA883" w14:textId="77777777" w:rsidR="00EE4EE9" w:rsidRPr="00EE4EE9" w:rsidRDefault="00EE4EE9" w:rsidP="00EE4EE9">
      <w:pPr>
        <w:pStyle w:val="NoSpacing"/>
        <w:numPr>
          <w:ilvl w:val="0"/>
          <w:numId w:val="10"/>
        </w:numPr>
        <w:ind w:left="284" w:hanging="284"/>
        <w:rPr>
          <w:rFonts w:asciiTheme="minorHAnsi" w:hAnsiTheme="minorHAnsi"/>
        </w:rPr>
      </w:pPr>
      <w:r w:rsidRPr="00EE4EE9">
        <w:rPr>
          <w:rFonts w:asciiTheme="minorHAnsi" w:hAnsiTheme="minorHAnsi"/>
        </w:rPr>
        <w:t>Explore the Job Accommodation Network website (</w:t>
      </w:r>
      <w:hyperlink r:id="rId28" w:history="1">
        <w:r w:rsidRPr="00EE4EE9">
          <w:rPr>
            <w:rStyle w:val="Hyperlink"/>
            <w:rFonts w:asciiTheme="minorHAnsi" w:hAnsiTheme="minorHAnsi"/>
          </w:rPr>
          <w:t>https://askjan.org/</w:t>
        </w:r>
      </w:hyperlink>
      <w:r w:rsidRPr="00EE4EE9">
        <w:rPr>
          <w:rFonts w:asciiTheme="minorHAnsi" w:hAnsiTheme="minorHAnsi"/>
        </w:rPr>
        <w:t>) to learn about successful accommodations used in the workplace by people with disabilities.</w:t>
      </w:r>
    </w:p>
    <w:p w14:paraId="22F368C2" w14:textId="77777777" w:rsidR="00EE4EE9" w:rsidRDefault="00EE4EE9" w:rsidP="006B1852">
      <w:pPr>
        <w:pStyle w:val="NoSpacing"/>
        <w:numPr>
          <w:ilvl w:val="0"/>
          <w:numId w:val="10"/>
        </w:numPr>
        <w:ind w:left="284" w:hanging="284"/>
      </w:pPr>
      <w:r w:rsidRPr="00EE4EE9">
        <w:rPr>
          <w:rFonts w:asciiTheme="minorHAnsi" w:hAnsiTheme="minorHAnsi"/>
        </w:rPr>
        <w:t xml:space="preserve">Introduce students to the Montana Council on Developmental Disabilities Self-Determination Toolkit at </w:t>
      </w:r>
      <w:hyperlink r:id="rId29" w:history="1">
        <w:r w:rsidRPr="00EE4EE9">
          <w:rPr>
            <w:rStyle w:val="Hyperlink"/>
            <w:rFonts w:asciiTheme="minorHAnsi" w:hAnsiTheme="minorHAnsi"/>
          </w:rPr>
          <w:t>http://mtcdd.org/toolkits-guides/self-determination-toolkit/</w:t>
        </w:r>
      </w:hyperlink>
      <w:r w:rsidRPr="00EE4EE9">
        <w:rPr>
          <w:rFonts w:asciiTheme="minorHAnsi" w:hAnsiTheme="minorHAnsi"/>
        </w:rPr>
        <w:t>.</w:t>
      </w:r>
      <w:r>
        <w:t xml:space="preserve"> </w:t>
      </w:r>
    </w:p>
    <w:p w14:paraId="1026C90B" w14:textId="77777777" w:rsidR="000A66DA" w:rsidRPr="000A66DA" w:rsidRDefault="000A66DA" w:rsidP="000A66DA">
      <w:pPr>
        <w:rPr>
          <w:sz w:val="24"/>
          <w:szCs w:val="24"/>
        </w:rPr>
      </w:pPr>
    </w:p>
    <w:p w14:paraId="3AFB5734" w14:textId="77777777" w:rsidR="000A66DA" w:rsidRPr="000A66DA" w:rsidRDefault="000A66DA" w:rsidP="000A66DA">
      <w:pPr>
        <w:jc w:val="center"/>
        <w:rPr>
          <w:rFonts w:ascii="Calibri" w:hAnsi="Calibri"/>
          <w:b/>
          <w:i/>
        </w:rPr>
      </w:pPr>
      <w:r w:rsidRPr="000A66DA">
        <w:rPr>
          <w:rFonts w:ascii="Calibri" w:hAnsi="Calibri"/>
          <w:b/>
          <w:i/>
        </w:rPr>
        <w:t>If you have ideas to add to the list, updates or corrections to existing list content, or suggestions for making this a more useful tool, please contact Kim Brown at kim.brown@mso.umt.edu or by leaving a message at 406-243-4852.</w:t>
      </w:r>
    </w:p>
    <w:p w14:paraId="574D462C" w14:textId="77777777" w:rsidR="00B26533" w:rsidRDefault="00A70A8C" w:rsidP="000A66DA">
      <w:pPr>
        <w:jc w:val="center"/>
        <w:rPr>
          <w:rFonts w:ascii="Calibri" w:hAnsi="Calibri"/>
          <w:b/>
          <w:i/>
        </w:rPr>
      </w:pPr>
      <w:r>
        <w:rPr>
          <w:rFonts w:ascii="Calibri" w:hAnsi="Calibri"/>
          <w:b/>
          <w:i/>
          <w:noProof/>
        </w:rPr>
        <mc:AlternateContent>
          <mc:Choice Requires="wps">
            <w:drawing>
              <wp:anchor distT="0" distB="0" distL="114300" distR="114300" simplePos="0" relativeHeight="251719680" behindDoc="0" locked="0" layoutInCell="1" allowOverlap="1" wp14:anchorId="7A64958D" wp14:editId="7FCA2A98">
                <wp:simplePos x="0" y="0"/>
                <wp:positionH relativeFrom="column">
                  <wp:posOffset>1352549</wp:posOffset>
                </wp:positionH>
                <wp:positionV relativeFrom="paragraph">
                  <wp:posOffset>70485</wp:posOffset>
                </wp:positionV>
                <wp:extent cx="34194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419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5AD85ACD" id="Straight Connector 2"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06.5pt,5.55pt" to="375.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" strokecolor="#5b9bd5 [3204]" strokeweight=".5pt">
                <v:stroke joinstyle="miter"/>
              </v:line>
            </w:pict>
          </mc:Fallback>
        </mc:AlternateContent>
      </w:r>
    </w:p>
    <w:p w14:paraId="4A89EF7C" w14:textId="3D0FB9D3" w:rsidR="00933E6A" w:rsidRDefault="000A66DA" w:rsidP="00B26533">
      <w:pPr>
        <w:jc w:val="center"/>
        <w:rPr>
          <w:rFonts w:ascii="Calibri" w:hAnsi="Calibri"/>
        </w:rPr>
      </w:pPr>
      <w:r w:rsidRPr="000A66DA">
        <w:rPr>
          <w:rFonts w:ascii="Calibri" w:hAnsi="Calibri"/>
          <w:b/>
          <w:i/>
        </w:rPr>
        <w:t xml:space="preserve">This product was </w:t>
      </w:r>
      <w:r w:rsidR="00944587">
        <w:rPr>
          <w:rFonts w:ascii="Calibri" w:hAnsi="Calibri"/>
          <w:b/>
          <w:i/>
        </w:rPr>
        <w:t xml:space="preserve">originally </w:t>
      </w:r>
      <w:r w:rsidRPr="000A66DA">
        <w:rPr>
          <w:rFonts w:ascii="Calibri" w:hAnsi="Calibri"/>
          <w:b/>
          <w:i/>
        </w:rPr>
        <w:t>developed by the Pre-ETS Technical Assistance Center based on a document created by Ann Verploegen for Region II Montana schools.</w:t>
      </w:r>
      <w:r w:rsidR="00B26533">
        <w:rPr>
          <w:rFonts w:ascii="Calibri" w:hAnsi="Calibri"/>
          <w:b/>
          <w:i/>
        </w:rPr>
        <w:t xml:space="preserve">   </w:t>
      </w:r>
      <w:r w:rsidR="004B2DBE">
        <w:rPr>
          <w:rFonts w:ascii="Calibri" w:hAnsi="Calibri"/>
        </w:rPr>
        <w:t>(Revised</w:t>
      </w:r>
      <w:r w:rsidRPr="000A66DA">
        <w:rPr>
          <w:rFonts w:ascii="Calibri" w:hAnsi="Calibri"/>
        </w:rPr>
        <w:t xml:space="preserve"> </w:t>
      </w:r>
      <w:r w:rsidR="00F836B6">
        <w:rPr>
          <w:rFonts w:ascii="Calibri" w:hAnsi="Calibri"/>
        </w:rPr>
        <w:t>6/18</w:t>
      </w:r>
      <w:r w:rsidRPr="000A66DA">
        <w:rPr>
          <w:rFonts w:ascii="Calibri" w:hAnsi="Calibri"/>
        </w:rPr>
        <w:t>)</w:t>
      </w:r>
    </w:p>
    <w:sectPr w:rsidR="00933E6A" w:rsidSect="00CA194A">
      <w:footerReference w:type="default" r:id="rId3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DA27B" w14:textId="77777777" w:rsidR="00B92990" w:rsidRDefault="00B92990" w:rsidP="00CA194A">
      <w:pPr>
        <w:spacing w:after="0" w:line="240" w:lineRule="auto"/>
      </w:pPr>
      <w:r>
        <w:separator/>
      </w:r>
    </w:p>
  </w:endnote>
  <w:endnote w:type="continuationSeparator" w:id="0">
    <w:p w14:paraId="481C2125" w14:textId="77777777" w:rsidR="00B92990" w:rsidRDefault="00B92990" w:rsidP="00CA1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227986"/>
      <w:docPartObj>
        <w:docPartGallery w:val="Page Numbers (Bottom of Page)"/>
        <w:docPartUnique/>
      </w:docPartObj>
    </w:sdtPr>
    <w:sdtEndPr>
      <w:rPr>
        <w:color w:val="7F7F7F" w:themeColor="background1" w:themeShade="7F"/>
        <w:spacing w:val="60"/>
        <w:sz w:val="24"/>
        <w:szCs w:val="24"/>
      </w:rPr>
    </w:sdtEndPr>
    <w:sdtContent>
      <w:p w14:paraId="500A6892" w14:textId="625C36CD" w:rsidR="00CA194A" w:rsidRPr="00CA194A" w:rsidRDefault="00CA194A">
        <w:pPr>
          <w:pStyle w:val="Footer"/>
          <w:pBdr>
            <w:top w:val="single" w:sz="4" w:space="1" w:color="D9D9D9" w:themeColor="background1" w:themeShade="D9"/>
          </w:pBdr>
          <w:jc w:val="right"/>
          <w:rPr>
            <w:sz w:val="24"/>
            <w:szCs w:val="24"/>
          </w:rPr>
        </w:pPr>
        <w:r w:rsidRPr="00CA194A">
          <w:rPr>
            <w:sz w:val="24"/>
            <w:szCs w:val="24"/>
          </w:rPr>
          <w:fldChar w:fldCharType="begin"/>
        </w:r>
        <w:r w:rsidRPr="00CA194A">
          <w:rPr>
            <w:sz w:val="24"/>
            <w:szCs w:val="24"/>
          </w:rPr>
          <w:instrText xml:space="preserve"> PAGE   \* MERGEFORMAT </w:instrText>
        </w:r>
        <w:r w:rsidRPr="00CA194A">
          <w:rPr>
            <w:sz w:val="24"/>
            <w:szCs w:val="24"/>
          </w:rPr>
          <w:fldChar w:fldCharType="separate"/>
        </w:r>
        <w:r w:rsidR="001F64D4">
          <w:rPr>
            <w:noProof/>
            <w:sz w:val="24"/>
            <w:szCs w:val="24"/>
          </w:rPr>
          <w:t>1</w:t>
        </w:r>
        <w:r w:rsidRPr="00CA194A">
          <w:rPr>
            <w:noProof/>
            <w:sz w:val="24"/>
            <w:szCs w:val="24"/>
          </w:rPr>
          <w:fldChar w:fldCharType="end"/>
        </w:r>
        <w:r w:rsidRPr="00CA194A">
          <w:rPr>
            <w:sz w:val="24"/>
            <w:szCs w:val="24"/>
          </w:rPr>
          <w:t xml:space="preserve"> | </w:t>
        </w:r>
        <w:r w:rsidRPr="00CA194A">
          <w:rPr>
            <w:color w:val="7F7F7F" w:themeColor="background1" w:themeShade="7F"/>
            <w:spacing w:val="60"/>
            <w:sz w:val="24"/>
            <w:szCs w:val="24"/>
          </w:rPr>
          <w:t>Page</w:t>
        </w:r>
      </w:p>
    </w:sdtContent>
  </w:sdt>
  <w:p w14:paraId="3A5A928A" w14:textId="77777777" w:rsidR="00CA194A" w:rsidRDefault="00CA1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70367" w14:textId="77777777" w:rsidR="00B92990" w:rsidRDefault="00B92990" w:rsidP="00CA194A">
      <w:pPr>
        <w:spacing w:after="0" w:line="240" w:lineRule="auto"/>
      </w:pPr>
      <w:r>
        <w:separator/>
      </w:r>
    </w:p>
  </w:footnote>
  <w:footnote w:type="continuationSeparator" w:id="0">
    <w:p w14:paraId="6D030696" w14:textId="77777777" w:rsidR="00B92990" w:rsidRDefault="00B92990" w:rsidP="00CA1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100BE"/>
    <w:multiLevelType w:val="hybridMultilevel"/>
    <w:tmpl w:val="6562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F2A14"/>
    <w:multiLevelType w:val="hybridMultilevel"/>
    <w:tmpl w:val="127A2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9C43B7"/>
    <w:multiLevelType w:val="hybridMultilevel"/>
    <w:tmpl w:val="28DA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D0984"/>
    <w:multiLevelType w:val="hybridMultilevel"/>
    <w:tmpl w:val="7A9E7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2D87CD6"/>
    <w:multiLevelType w:val="hybridMultilevel"/>
    <w:tmpl w:val="01D21B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4272065"/>
    <w:multiLevelType w:val="hybridMultilevel"/>
    <w:tmpl w:val="1950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C1D20"/>
    <w:multiLevelType w:val="hybridMultilevel"/>
    <w:tmpl w:val="0DD022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62809C8"/>
    <w:multiLevelType w:val="hybridMultilevel"/>
    <w:tmpl w:val="C3B2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D58E4"/>
    <w:multiLevelType w:val="hybridMultilevel"/>
    <w:tmpl w:val="C25A7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DA36DBB"/>
    <w:multiLevelType w:val="hybridMultilevel"/>
    <w:tmpl w:val="5F30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E821D0"/>
    <w:multiLevelType w:val="hybridMultilevel"/>
    <w:tmpl w:val="E0E6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1"/>
  </w:num>
  <w:num w:numId="5">
    <w:abstractNumId w:val="6"/>
  </w:num>
  <w:num w:numId="6">
    <w:abstractNumId w:val="0"/>
  </w:num>
  <w:num w:numId="7">
    <w:abstractNumId w:val="5"/>
  </w:num>
  <w:num w:numId="8">
    <w:abstractNumId w:val="7"/>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60"/>
    <w:rsid w:val="00015DC9"/>
    <w:rsid w:val="000303A1"/>
    <w:rsid w:val="00063848"/>
    <w:rsid w:val="000A5ECE"/>
    <w:rsid w:val="000A66DA"/>
    <w:rsid w:val="000B0AD3"/>
    <w:rsid w:val="000B0D79"/>
    <w:rsid w:val="000C4D2C"/>
    <w:rsid w:val="00172336"/>
    <w:rsid w:val="00181278"/>
    <w:rsid w:val="001B011C"/>
    <w:rsid w:val="001B579B"/>
    <w:rsid w:val="001C5E94"/>
    <w:rsid w:val="001E3CA5"/>
    <w:rsid w:val="001F0DBC"/>
    <w:rsid w:val="001F64D4"/>
    <w:rsid w:val="0020722C"/>
    <w:rsid w:val="00207A2E"/>
    <w:rsid w:val="0025155B"/>
    <w:rsid w:val="002811E4"/>
    <w:rsid w:val="00281835"/>
    <w:rsid w:val="002E1153"/>
    <w:rsid w:val="002F681B"/>
    <w:rsid w:val="003035E8"/>
    <w:rsid w:val="00346187"/>
    <w:rsid w:val="0039218A"/>
    <w:rsid w:val="003A3676"/>
    <w:rsid w:val="003A38C2"/>
    <w:rsid w:val="003A41AB"/>
    <w:rsid w:val="003B0FF2"/>
    <w:rsid w:val="003C469A"/>
    <w:rsid w:val="003E4469"/>
    <w:rsid w:val="00441814"/>
    <w:rsid w:val="004B2DBE"/>
    <w:rsid w:val="004E5C3A"/>
    <w:rsid w:val="0051167F"/>
    <w:rsid w:val="005210CD"/>
    <w:rsid w:val="005232CA"/>
    <w:rsid w:val="00531578"/>
    <w:rsid w:val="005A7A50"/>
    <w:rsid w:val="005C2D33"/>
    <w:rsid w:val="005E1C36"/>
    <w:rsid w:val="0064089E"/>
    <w:rsid w:val="00682724"/>
    <w:rsid w:val="006A4D8B"/>
    <w:rsid w:val="007004EB"/>
    <w:rsid w:val="00746F8B"/>
    <w:rsid w:val="0076195A"/>
    <w:rsid w:val="007677B0"/>
    <w:rsid w:val="0078353D"/>
    <w:rsid w:val="00785F09"/>
    <w:rsid w:val="0082747D"/>
    <w:rsid w:val="008601CB"/>
    <w:rsid w:val="008617D9"/>
    <w:rsid w:val="00863193"/>
    <w:rsid w:val="00871408"/>
    <w:rsid w:val="008828F8"/>
    <w:rsid w:val="008B0861"/>
    <w:rsid w:val="008D1386"/>
    <w:rsid w:val="008D608D"/>
    <w:rsid w:val="00925BFD"/>
    <w:rsid w:val="00933E6A"/>
    <w:rsid w:val="00936311"/>
    <w:rsid w:val="00944587"/>
    <w:rsid w:val="00944B7A"/>
    <w:rsid w:val="00961660"/>
    <w:rsid w:val="0097083D"/>
    <w:rsid w:val="00982F82"/>
    <w:rsid w:val="00991284"/>
    <w:rsid w:val="009A0DE3"/>
    <w:rsid w:val="009C3334"/>
    <w:rsid w:val="009D4B7B"/>
    <w:rsid w:val="00A13674"/>
    <w:rsid w:val="00A20339"/>
    <w:rsid w:val="00A30166"/>
    <w:rsid w:val="00A3762E"/>
    <w:rsid w:val="00A70A8C"/>
    <w:rsid w:val="00A82A4E"/>
    <w:rsid w:val="00AA1D1E"/>
    <w:rsid w:val="00AD14BC"/>
    <w:rsid w:val="00AD2343"/>
    <w:rsid w:val="00B26533"/>
    <w:rsid w:val="00B2795C"/>
    <w:rsid w:val="00B61FDC"/>
    <w:rsid w:val="00B639CF"/>
    <w:rsid w:val="00B7408A"/>
    <w:rsid w:val="00B92990"/>
    <w:rsid w:val="00B93B74"/>
    <w:rsid w:val="00BA452E"/>
    <w:rsid w:val="00BF3B3F"/>
    <w:rsid w:val="00BF6238"/>
    <w:rsid w:val="00C10BC1"/>
    <w:rsid w:val="00C30F01"/>
    <w:rsid w:val="00C443B4"/>
    <w:rsid w:val="00C45802"/>
    <w:rsid w:val="00C92D6E"/>
    <w:rsid w:val="00C961DE"/>
    <w:rsid w:val="00CA194A"/>
    <w:rsid w:val="00CA43C3"/>
    <w:rsid w:val="00CC72F7"/>
    <w:rsid w:val="00CD75CD"/>
    <w:rsid w:val="00D021D4"/>
    <w:rsid w:val="00D603D7"/>
    <w:rsid w:val="00D612B5"/>
    <w:rsid w:val="00D62A41"/>
    <w:rsid w:val="00D63E2C"/>
    <w:rsid w:val="00D72E5B"/>
    <w:rsid w:val="00DA2527"/>
    <w:rsid w:val="00DC7DB3"/>
    <w:rsid w:val="00DE0145"/>
    <w:rsid w:val="00DE7E0A"/>
    <w:rsid w:val="00E245CF"/>
    <w:rsid w:val="00E554F2"/>
    <w:rsid w:val="00E73F9C"/>
    <w:rsid w:val="00E93A62"/>
    <w:rsid w:val="00E97903"/>
    <w:rsid w:val="00EA40A3"/>
    <w:rsid w:val="00EC295C"/>
    <w:rsid w:val="00EC363B"/>
    <w:rsid w:val="00EE4EE9"/>
    <w:rsid w:val="00F13E4E"/>
    <w:rsid w:val="00F836B6"/>
    <w:rsid w:val="00FD55A4"/>
    <w:rsid w:val="00FE08C1"/>
    <w:rsid w:val="00FE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FBBA4"/>
  <w15:chartTrackingRefBased/>
  <w15:docId w15:val="{418CFD3F-743E-4FBE-9A9E-EF620970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8C2"/>
    <w:pPr>
      <w:ind w:left="720"/>
      <w:contextualSpacing/>
    </w:pPr>
  </w:style>
  <w:style w:type="table" w:styleId="TableGrid">
    <w:name w:val="Table Grid"/>
    <w:basedOn w:val="TableNormal"/>
    <w:uiPriority w:val="59"/>
    <w:rsid w:val="00531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1578"/>
    <w:pPr>
      <w:spacing w:after="0" w:line="240" w:lineRule="auto"/>
    </w:pPr>
    <w:rPr>
      <w:rFonts w:ascii="Times New Roman" w:hAnsi="Times New Roman"/>
      <w:sz w:val="24"/>
    </w:rPr>
  </w:style>
  <w:style w:type="character" w:styleId="Hyperlink">
    <w:name w:val="Hyperlink"/>
    <w:basedOn w:val="DefaultParagraphFont"/>
    <w:uiPriority w:val="99"/>
    <w:unhideWhenUsed/>
    <w:rsid w:val="00531578"/>
    <w:rPr>
      <w:color w:val="0563C1" w:themeColor="hyperlink"/>
      <w:u w:val="single"/>
    </w:rPr>
  </w:style>
  <w:style w:type="paragraph" w:styleId="Header">
    <w:name w:val="header"/>
    <w:basedOn w:val="Normal"/>
    <w:link w:val="HeaderChar"/>
    <w:uiPriority w:val="99"/>
    <w:unhideWhenUsed/>
    <w:rsid w:val="00CA1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94A"/>
  </w:style>
  <w:style w:type="paragraph" w:styleId="Footer">
    <w:name w:val="footer"/>
    <w:basedOn w:val="Normal"/>
    <w:link w:val="FooterChar"/>
    <w:uiPriority w:val="99"/>
    <w:unhideWhenUsed/>
    <w:rsid w:val="00CA1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94A"/>
  </w:style>
  <w:style w:type="character" w:styleId="CommentReference">
    <w:name w:val="annotation reference"/>
    <w:basedOn w:val="DefaultParagraphFont"/>
    <w:uiPriority w:val="99"/>
    <w:semiHidden/>
    <w:unhideWhenUsed/>
    <w:rsid w:val="00D62A41"/>
    <w:rPr>
      <w:sz w:val="16"/>
      <w:szCs w:val="16"/>
    </w:rPr>
  </w:style>
  <w:style w:type="paragraph" w:styleId="CommentText">
    <w:name w:val="annotation text"/>
    <w:basedOn w:val="Normal"/>
    <w:link w:val="CommentTextChar"/>
    <w:uiPriority w:val="99"/>
    <w:semiHidden/>
    <w:unhideWhenUsed/>
    <w:rsid w:val="00D62A41"/>
    <w:pPr>
      <w:spacing w:line="240" w:lineRule="auto"/>
    </w:pPr>
    <w:rPr>
      <w:sz w:val="20"/>
      <w:szCs w:val="20"/>
    </w:rPr>
  </w:style>
  <w:style w:type="character" w:customStyle="1" w:styleId="CommentTextChar">
    <w:name w:val="Comment Text Char"/>
    <w:basedOn w:val="DefaultParagraphFont"/>
    <w:link w:val="CommentText"/>
    <w:uiPriority w:val="99"/>
    <w:semiHidden/>
    <w:rsid w:val="00D62A41"/>
    <w:rPr>
      <w:sz w:val="20"/>
      <w:szCs w:val="20"/>
    </w:rPr>
  </w:style>
  <w:style w:type="paragraph" w:styleId="CommentSubject">
    <w:name w:val="annotation subject"/>
    <w:basedOn w:val="CommentText"/>
    <w:next w:val="CommentText"/>
    <w:link w:val="CommentSubjectChar"/>
    <w:uiPriority w:val="99"/>
    <w:semiHidden/>
    <w:unhideWhenUsed/>
    <w:rsid w:val="00D62A41"/>
    <w:rPr>
      <w:b/>
      <w:bCs/>
    </w:rPr>
  </w:style>
  <w:style w:type="character" w:customStyle="1" w:styleId="CommentSubjectChar">
    <w:name w:val="Comment Subject Char"/>
    <w:basedOn w:val="CommentTextChar"/>
    <w:link w:val="CommentSubject"/>
    <w:uiPriority w:val="99"/>
    <w:semiHidden/>
    <w:rsid w:val="00D62A41"/>
    <w:rPr>
      <w:b/>
      <w:bCs/>
      <w:sz w:val="20"/>
      <w:szCs w:val="20"/>
    </w:rPr>
  </w:style>
  <w:style w:type="paragraph" w:styleId="BalloonText">
    <w:name w:val="Balloon Text"/>
    <w:basedOn w:val="Normal"/>
    <w:link w:val="BalloonTextChar"/>
    <w:uiPriority w:val="99"/>
    <w:semiHidden/>
    <w:unhideWhenUsed/>
    <w:rsid w:val="00D62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18" Type="http://schemas.openxmlformats.org/officeDocument/2006/relationships/hyperlink" Target="http://www.careers.mt.gov" TargetMode="External"/><Relationship Id="rId26" Type="http://schemas.openxmlformats.org/officeDocument/2006/relationships/hyperlink" Target="http://www.dol.gov/odep/" TargetMode="External"/><Relationship Id="rId3" Type="http://schemas.openxmlformats.org/officeDocument/2006/relationships/styles" Target="styles.xml"/><Relationship Id="rId21" Type="http://schemas.openxmlformats.org/officeDocument/2006/relationships/hyperlink" Target="http://www.jobsinfomt.com/jobreadyprogram.html" TargetMode="Externa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hyperlink" Target="https://mtcis.intocareers.org/" TargetMode="External"/><Relationship Id="rId25" Type="http://schemas.openxmlformats.org/officeDocument/2006/relationships/hyperlink" Target="http://www.attainmentcompany.com/" TargetMode="External"/><Relationship Id="rId2" Type="http://schemas.openxmlformats.org/officeDocument/2006/relationships/numbering" Target="numbering.xml"/><Relationship Id="rId16" Type="http://schemas.openxmlformats.org/officeDocument/2006/relationships/image" Target="media/image40.png"/><Relationship Id="rId20" Type="http://schemas.openxmlformats.org/officeDocument/2006/relationships/hyperlink" Target="http://www.easterseals.com/esgw/our-programs/autism-asd-services/peer-connections.html" TargetMode="External"/><Relationship Id="rId29" Type="http://schemas.openxmlformats.org/officeDocument/2006/relationships/hyperlink" Target="http://mtcdd.org/toolkits-guides/self-determination-tool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24" Type="http://schemas.openxmlformats.org/officeDocument/2006/relationships/hyperlink" Target="https://www.cec.sped.org/Publications/LCE-Transition-Curriculum" TargetMode="External"/><Relationship Id="rId32"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hyperlink" Target="http://www.dol.gov/odep/topics/youth/softskills/" TargetMode="External"/><Relationship Id="rId28" Type="http://schemas.openxmlformats.org/officeDocument/2006/relationships/hyperlink" Target="https://askjan.org/" TargetMode="External"/><Relationship Id="rId10" Type="http://schemas.openxmlformats.org/officeDocument/2006/relationships/image" Target="media/image2.png"/><Relationship Id="rId19" Type="http://schemas.openxmlformats.org/officeDocument/2006/relationships/hyperlink" Target="https://www.onetonline.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22" Type="http://schemas.openxmlformats.org/officeDocument/2006/relationships/hyperlink" Target="http://montanayouthtransitions.org/soft-skills-academies/" TargetMode="External"/><Relationship Id="rId27" Type="http://schemas.openxmlformats.org/officeDocument/2006/relationships/hyperlink" Target="http://livingandworkingwell.ruralinstitute.umt.edu/"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Five Pre-Employment Transition Services Categories</a:t>
            </a:r>
          </a:p>
        </c:rich>
      </c:tx>
      <c:layout>
        <c:manualLayout>
          <c:xMode val="edge"/>
          <c:yMode val="edge"/>
          <c:x val="0.15695761069082051"/>
          <c:y val="2.468333858267717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0447583757912613"/>
          <c:y val="0.17761539301258228"/>
          <c:w val="0.59104849638893175"/>
          <c:h val="0.70787021485328028"/>
        </c:manualLayout>
      </c:layout>
      <c:pieChart>
        <c:varyColors val="1"/>
        <c:ser>
          <c:idx val="0"/>
          <c:order val="0"/>
          <c:tx>
            <c:strRef>
              <c:f>Sheet1!$B$1</c:f>
              <c:strCache>
                <c:ptCount val="1"/>
                <c:pt idx="0">
                  <c:v>Five Pre-Employment Transition Services Activities</c:v>
                </c:pt>
              </c:strCache>
            </c:strRef>
          </c:tx>
          <c:explosion val="6"/>
          <c:dPt>
            <c:idx val="0"/>
            <c:bubble3D val="0"/>
            <c:spPr>
              <a:solidFill>
                <a:srgbClr val="00B0F0"/>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1087-460C-BA98-28C1782C9A19}"/>
              </c:ext>
            </c:extLst>
          </c:dPt>
          <c:dPt>
            <c:idx val="1"/>
            <c:bubble3D val="0"/>
            <c:spPr>
              <a:solidFill>
                <a:srgbClr val="00B050"/>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FBA9-47A5-A045-04AA0493AEAE}"/>
              </c:ext>
            </c:extLst>
          </c:dPt>
          <c:dPt>
            <c:idx val="2"/>
            <c:bubble3D val="0"/>
            <c:spPr>
              <a:solidFill>
                <a:srgbClr val="7030A0"/>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2-FBA9-47A5-A045-04AA0493AEAE}"/>
              </c:ext>
            </c:extLst>
          </c:dPt>
          <c:dPt>
            <c:idx val="3"/>
            <c:bubble3D val="0"/>
            <c:spPr>
              <a:solidFill>
                <a:srgbClr val="92D050"/>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FBA9-47A5-A045-04AA0493AEAE}"/>
              </c:ext>
            </c:extLst>
          </c:dPt>
          <c:dPt>
            <c:idx val="4"/>
            <c:bubble3D val="0"/>
            <c:spPr>
              <a:solidFill>
                <a:srgbClr val="002060"/>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4-FBA9-47A5-A045-04AA0493AEAE}"/>
              </c:ext>
            </c:extLst>
          </c:dPt>
          <c:dLbls>
            <c:dLbl>
              <c:idx val="0"/>
              <c:layout>
                <c:manualLayout>
                  <c:x val="5.9913025577685117E-2"/>
                  <c:y val="3.3271181102362241E-2"/>
                </c:manualLayout>
              </c:layout>
              <c:spPr>
                <a:noFill/>
                <a:ln>
                  <a:noFill/>
                </a:ln>
                <a:effectLst/>
              </c:spPr>
              <c:txPr>
                <a:bodyPr rot="0" spcFirstLastPara="1" vertOverflow="ellipsis" vert="horz" wrap="square" lIns="38100" tIns="19050" rIns="38100" bIns="19050" anchor="ctr" anchorCtr="1">
                  <a:noAutofit/>
                </a:bodyPr>
                <a:lstStyle/>
                <a:p>
                  <a:pPr>
                    <a:defRPr sz="1400" b="1" i="0" u="none" strike="noStrike" kern="1200" spc="0" baseline="0">
                      <a:solidFill>
                        <a:srgbClr val="00B0F0"/>
                      </a:solidFill>
                      <a:latin typeface="+mn-lt"/>
                      <a:ea typeface="+mn-ea"/>
                      <a:cs typeface="+mn-cs"/>
                    </a:defRPr>
                  </a:pPr>
                  <a:endParaRPr lang="en-US"/>
                </a:p>
              </c:txPr>
              <c:dLblPos val="bestFit"/>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1-1087-460C-BA98-28C1782C9A19}"/>
                </c:ext>
                <c:ext xmlns:c15="http://schemas.microsoft.com/office/drawing/2012/chart" uri="{CE6537A1-D6FC-4f65-9D91-7224C49458BB}">
                  <c15:layout>
                    <c:manualLayout>
                      <c:w val="0.22990187501072165"/>
                      <c:h val="0.11952814698162728"/>
                    </c:manualLayout>
                  </c15:layout>
                </c:ext>
              </c:extLst>
            </c:dLbl>
            <c:dLbl>
              <c:idx val="1"/>
              <c:layout>
                <c:manualLayout>
                  <c:x val="-7.897689259430787E-3"/>
                  <c:y val="7.5447032505552181E-2"/>
                </c:manualLayout>
              </c:layout>
              <c:spPr>
                <a:noFill/>
                <a:ln>
                  <a:noFill/>
                </a:ln>
                <a:effectLst/>
              </c:spPr>
              <c:txPr>
                <a:bodyPr rot="0" spcFirstLastPara="1" vertOverflow="ellipsis" vert="horz" wrap="square" lIns="38100" tIns="19050" rIns="38100" bIns="19050" anchor="ctr" anchorCtr="1">
                  <a:noAutofit/>
                </a:bodyPr>
                <a:lstStyle/>
                <a:p>
                  <a:pPr>
                    <a:defRPr sz="1400" b="1" i="0" u="none" strike="noStrike" kern="1200" spc="0" baseline="0">
                      <a:solidFill>
                        <a:srgbClr val="00B050"/>
                      </a:solidFill>
                      <a:latin typeface="+mn-lt"/>
                      <a:ea typeface="+mn-ea"/>
                      <a:cs typeface="+mn-cs"/>
                    </a:defRPr>
                  </a:pPr>
                  <a:endParaRPr lang="en-US"/>
                </a:p>
              </c:txPr>
              <c:dLblPos val="bestFit"/>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1-FBA9-47A5-A045-04AA0493AEAE}"/>
                </c:ext>
                <c:ext xmlns:c15="http://schemas.microsoft.com/office/drawing/2012/chart" uri="{CE6537A1-D6FC-4f65-9D91-7224C49458BB}">
                  <c15:layout>
                    <c:manualLayout>
                      <c:w val="0.20601307189542487"/>
                      <c:h val="0.15654483989501308"/>
                    </c:manualLayout>
                  </c15:layout>
                </c:ext>
              </c:extLst>
            </c:dLbl>
            <c:dLbl>
              <c:idx val="2"/>
              <c:layout>
                <c:manualLayout>
                  <c:x val="7.4074074074074042E-2"/>
                  <c:y val="8.5333010296789746E-3"/>
                </c:manualLayout>
              </c:layout>
              <c:spPr>
                <a:noFill/>
                <a:ln>
                  <a:noFill/>
                </a:ln>
                <a:effectLst/>
              </c:spPr>
              <c:txPr>
                <a:bodyPr rot="0" spcFirstLastPara="1" vertOverflow="ellipsis" vert="horz" wrap="square" lIns="38100" tIns="19050" rIns="38100" bIns="19050" anchor="ctr" anchorCtr="1">
                  <a:noAutofit/>
                </a:bodyPr>
                <a:lstStyle/>
                <a:p>
                  <a:pPr>
                    <a:defRPr sz="1400" b="1" i="0" u="none" strike="noStrike" kern="1200" spc="0" baseline="0">
                      <a:solidFill>
                        <a:srgbClr val="7030A0"/>
                      </a:solidFill>
                      <a:latin typeface="+mn-lt"/>
                      <a:ea typeface="+mn-ea"/>
                      <a:cs typeface="+mn-cs"/>
                    </a:defRPr>
                  </a:pPr>
                  <a:endParaRPr lang="en-US"/>
                </a:p>
              </c:txPr>
              <c:dLblPos val="bestFit"/>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2-FBA9-47A5-A045-04AA0493AEAE}"/>
                </c:ext>
                <c:ext xmlns:c15="http://schemas.microsoft.com/office/drawing/2012/chart" uri="{CE6537A1-D6FC-4f65-9D91-7224C49458BB}">
                  <c15:layout>
                    <c:manualLayout>
                      <c:w val="0.27346405228758164"/>
                      <c:h val="0.16344608923884513"/>
                    </c:manualLayout>
                  </c15:layout>
                </c:ext>
              </c:extLst>
            </c:dLbl>
            <c:dLbl>
              <c:idx val="3"/>
              <c:layout>
                <c:manualLayout>
                  <c:x val="1.30718954248366E-2"/>
                  <c:y val="3.0206867520333084E-2"/>
                </c:manualLayout>
              </c:layout>
              <c:spPr>
                <a:noFill/>
                <a:ln>
                  <a:noFill/>
                </a:ln>
                <a:effectLst/>
              </c:spPr>
              <c:txPr>
                <a:bodyPr rot="0" spcFirstLastPara="1" vertOverflow="ellipsis" vert="horz" wrap="square" lIns="38100" tIns="19050" rIns="38100" bIns="19050" anchor="ctr" anchorCtr="1">
                  <a:noAutofit/>
                </a:bodyPr>
                <a:lstStyle/>
                <a:p>
                  <a:pPr>
                    <a:defRPr sz="1400" b="1" i="0" u="none" strike="noStrike" kern="1200" spc="0" baseline="0">
                      <a:solidFill>
                        <a:srgbClr val="92D050"/>
                      </a:solidFill>
                      <a:latin typeface="+mn-lt"/>
                      <a:ea typeface="+mn-ea"/>
                      <a:cs typeface="+mn-cs"/>
                    </a:defRPr>
                  </a:pPr>
                  <a:endParaRPr lang="en-US"/>
                </a:p>
              </c:txPr>
              <c:dLblPos val="bestFit"/>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3-FBA9-47A5-A045-04AA0493AEAE}"/>
                </c:ext>
                <c:ext xmlns:c15="http://schemas.microsoft.com/office/drawing/2012/chart" uri="{CE6537A1-D6FC-4f65-9D91-7224C49458BB}">
                  <c15:layout>
                    <c:manualLayout>
                      <c:w val="0.18766884531590414"/>
                      <c:h val="0.1589557843731072"/>
                    </c:manualLayout>
                  </c15:layout>
                </c:ext>
              </c:extLst>
            </c:dLbl>
            <c:dLbl>
              <c:idx val="4"/>
              <c:layout>
                <c:manualLayout>
                  <c:x val="-4.6841044379256513E-2"/>
                  <c:y val="3.2414824146981609E-2"/>
                </c:manualLayout>
              </c:layout>
              <c:tx>
                <c:rich>
                  <a:bodyPr rot="0" spcFirstLastPara="1" vertOverflow="ellipsis" vert="horz" wrap="square" lIns="38100" tIns="19050" rIns="38100" bIns="19050" anchor="ctr" anchorCtr="1">
                    <a:noAutofit/>
                  </a:bodyPr>
                  <a:lstStyle/>
                  <a:p>
                    <a:pPr>
                      <a:defRPr sz="1200" b="1" i="0" u="none" strike="noStrike" kern="1200" spc="0" baseline="0">
                        <a:solidFill>
                          <a:srgbClr val="002060"/>
                        </a:solidFill>
                        <a:latin typeface="+mn-lt"/>
                        <a:ea typeface="+mn-ea"/>
                        <a:cs typeface="+mn-cs"/>
                      </a:defRPr>
                    </a:pPr>
                    <a:fld id="{4C8F1398-F460-428A-84EB-6E8E9C0214A2}" type="CATEGORYNAME">
                      <a:rPr lang="en-US" sz="1400" baseline="0"/>
                      <a:pPr>
                        <a:defRPr sz="1200">
                          <a:solidFill>
                            <a:srgbClr val="002060"/>
                          </a:solidFill>
                        </a:defRPr>
                      </a:pPr>
                      <a:t>[CATEGORY NAME]</a:t>
                    </a:fld>
                    <a:endParaRPr lang="en-US"/>
                  </a:p>
                </c:rich>
              </c:tx>
              <c:spPr>
                <a:noFill/>
                <a:ln>
                  <a:noFill/>
                </a:ln>
                <a:effectLst/>
              </c:spPr>
              <c:txPr>
                <a:bodyPr rot="0" spcFirstLastPara="1" vertOverflow="ellipsis" vert="horz" wrap="square" lIns="38100" tIns="19050" rIns="38100" bIns="19050" anchor="ctr" anchorCtr="1">
                  <a:noAutofit/>
                </a:bodyPr>
                <a:lstStyle/>
                <a:p>
                  <a:pPr>
                    <a:defRPr sz="1200" b="1" i="0" u="none" strike="noStrike" kern="1200" spc="0" baseline="0">
                      <a:solidFill>
                        <a:srgbClr val="002060"/>
                      </a:solidFill>
                      <a:latin typeface="+mn-lt"/>
                      <a:ea typeface="+mn-ea"/>
                      <a:cs typeface="+mn-cs"/>
                    </a:defRPr>
                  </a:pPr>
                  <a:endParaRPr lang="en-US"/>
                </a:p>
              </c:txPr>
              <c:dLblPos val="bestFit"/>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4-FBA9-47A5-A045-04AA0493AEAE}"/>
                </c:ext>
                <c:ext xmlns:c15="http://schemas.microsoft.com/office/drawing/2012/chart" uri="{CE6537A1-D6FC-4f65-9D91-7224C49458BB}">
                  <c15:layout>
                    <c:manualLayout>
                      <c:w val="0.22480383579503538"/>
                      <c:h val="0.1586871794871795"/>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rgbClr val="00B0F0"/>
                    </a:solidFill>
                    <a:latin typeface="+mn-lt"/>
                    <a:ea typeface="+mn-ea"/>
                    <a:cs typeface="+mn-cs"/>
                  </a:defRPr>
                </a:pPr>
                <a:endParaRPr lang="en-US"/>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1.  Job Exploration Counseling</c:v>
                </c:pt>
                <c:pt idx="1">
                  <c:v>2.  Work-Based Learning Experiences</c:v>
                </c:pt>
                <c:pt idx="2">
                  <c:v>3.  Counseling for Post-Secondary Education</c:v>
                </c:pt>
                <c:pt idx="3">
                  <c:v>4.  Workplace Readiness Training</c:v>
                </c:pt>
                <c:pt idx="4">
                  <c:v>5.  Instruction in Self-Advocacy</c:v>
                </c:pt>
              </c:strCache>
            </c:strRef>
          </c:cat>
          <c:val>
            <c:numRef>
              <c:f>Sheet1!$B$2:$B$6</c:f>
              <c:numCache>
                <c:formatCode>General</c:formatCode>
                <c:ptCount val="5"/>
                <c:pt idx="0">
                  <c:v>20</c:v>
                </c:pt>
                <c:pt idx="1">
                  <c:v>20</c:v>
                </c:pt>
                <c:pt idx="2">
                  <c:v>20</c:v>
                </c:pt>
                <c:pt idx="3">
                  <c:v>20</c:v>
                </c:pt>
                <c:pt idx="4">
                  <c:v>20</c:v>
                </c:pt>
              </c:numCache>
            </c:numRef>
          </c:val>
          <c:extLst xmlns:c16r2="http://schemas.microsoft.com/office/drawing/2015/06/chart">
            <c:ext xmlns:c16="http://schemas.microsoft.com/office/drawing/2014/chart" uri="{C3380CC4-5D6E-409C-BE32-E72D297353CC}">
              <c16:uniqueId val="{00000000-FBA9-47A5-A045-04AA0493AEAE}"/>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C3E89-906D-404D-9521-94D97824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2948</Words>
  <Characters>16809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19718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Hogan</dc:creator>
  <cp:keywords/>
  <dc:description/>
  <cp:lastModifiedBy>Pender Kim</cp:lastModifiedBy>
  <cp:revision>2</cp:revision>
  <dcterms:created xsi:type="dcterms:W3CDTF">2018-06-15T16:54:00Z</dcterms:created>
  <dcterms:modified xsi:type="dcterms:W3CDTF">2018-06-15T16:54:00Z</dcterms:modified>
</cp:coreProperties>
</file>